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361"/>
        <w:gridCol w:w="2730"/>
        <w:gridCol w:w="823"/>
        <w:gridCol w:w="3685"/>
      </w:tblGrid>
      <w:tr w:rsidR="00334C8D" w:rsidRPr="00334C8D" w14:paraId="7DEDA1A6" w14:textId="77777777" w:rsidTr="00A0644E">
        <w:tc>
          <w:tcPr>
            <w:tcW w:w="1361" w:type="dxa"/>
          </w:tcPr>
          <w:p w14:paraId="63A5B73E" w14:textId="31931A67" w:rsidR="00334C8D" w:rsidRPr="00334C8D" w:rsidRDefault="00C15ED6" w:rsidP="00813258">
            <w:pPr>
              <w:keepNext/>
              <w:keepLines/>
              <w:suppressAutoHyphens/>
              <w:spacing w:before="0" w:after="0"/>
              <w:ind w:left="0"/>
              <w:rPr>
                <w:rFonts w:eastAsia="Verdana" w:cs="Times New Roman"/>
                <w:sz w:val="14"/>
              </w:rPr>
            </w:pPr>
            <w:r>
              <w:rPr>
                <w:rFonts w:eastAsia="Verdana" w:cs="Times New Roman"/>
                <w:sz w:val="14"/>
              </w:rPr>
              <w:t xml:space="preserve"> </w:t>
            </w:r>
          </w:p>
        </w:tc>
        <w:tc>
          <w:tcPr>
            <w:tcW w:w="2552" w:type="dxa"/>
          </w:tcPr>
          <w:p w14:paraId="6773A5BB" w14:textId="77777777" w:rsidR="00334C8D" w:rsidRPr="00334C8D" w:rsidRDefault="00334C8D" w:rsidP="00813258">
            <w:pPr>
              <w:keepNext/>
              <w:keepLines/>
              <w:suppressAutoHyphens/>
              <w:spacing w:before="0" w:after="0"/>
              <w:rPr>
                <w:rFonts w:eastAsia="Verdana" w:cs="Times New Roman"/>
                <w:sz w:val="14"/>
              </w:rPr>
            </w:pPr>
          </w:p>
        </w:tc>
        <w:tc>
          <w:tcPr>
            <w:tcW w:w="823" w:type="dxa"/>
          </w:tcPr>
          <w:p w14:paraId="5AA9D977" w14:textId="77777777" w:rsidR="00334C8D" w:rsidRPr="00334C8D" w:rsidRDefault="00334C8D" w:rsidP="00813258">
            <w:pPr>
              <w:keepNext/>
              <w:keepLines/>
              <w:suppressAutoHyphens/>
              <w:spacing w:before="0" w:after="0"/>
              <w:rPr>
                <w:rFonts w:eastAsia="Verdana" w:cs="Times New Roman"/>
                <w:sz w:val="14"/>
              </w:rPr>
            </w:pPr>
          </w:p>
        </w:tc>
        <w:tc>
          <w:tcPr>
            <w:tcW w:w="3685" w:type="dxa"/>
          </w:tcPr>
          <w:p w14:paraId="41087E9A"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695478D3" w:rsidR="00334C8D" w:rsidRPr="00334C8D" w:rsidRDefault="00334C8D" w:rsidP="00813258">
            <w:pPr>
              <w:keepNext/>
              <w:keepLines/>
              <w:suppressAutoHyphens/>
              <w:spacing w:before="0" w:after="0"/>
              <w:rPr>
                <w:rFonts w:eastAsia="Verdana" w:cs="Times New Roman"/>
                <w:sz w:val="14"/>
              </w:rPr>
            </w:pPr>
          </w:p>
        </w:tc>
        <w:tc>
          <w:tcPr>
            <w:tcW w:w="2552" w:type="dxa"/>
          </w:tcPr>
          <w:p w14:paraId="04990127" w14:textId="511AE6ED" w:rsidR="00334C8D" w:rsidRPr="00AD2B09" w:rsidRDefault="00334C8D" w:rsidP="00813258">
            <w:pPr>
              <w:keepNext/>
              <w:keepLines/>
              <w:suppressAutoHyphens/>
              <w:spacing w:before="0" w:after="0"/>
              <w:rPr>
                <w:rFonts w:eastAsia="Verdana" w:cs="Times New Roman"/>
                <w:sz w:val="14"/>
              </w:rPr>
            </w:pPr>
          </w:p>
        </w:tc>
        <w:tc>
          <w:tcPr>
            <w:tcW w:w="823" w:type="dxa"/>
          </w:tcPr>
          <w:p w14:paraId="7CCDF574"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68AC19D1" w:rsidR="00334C8D" w:rsidRPr="00334C8D" w:rsidRDefault="00334C8D" w:rsidP="00813258">
            <w:pPr>
              <w:keepNext/>
              <w:keepLines/>
              <w:suppressAutoHyphens/>
              <w:spacing w:before="0" w:after="0"/>
              <w:rPr>
                <w:rFonts w:eastAsia="Verdana" w:cs="Times New Roman"/>
                <w:sz w:val="14"/>
              </w:rPr>
            </w:pPr>
          </w:p>
        </w:tc>
        <w:tc>
          <w:tcPr>
            <w:tcW w:w="2552" w:type="dxa"/>
          </w:tcPr>
          <w:p w14:paraId="53EF215E" w14:textId="17CD3007" w:rsidR="00334C8D" w:rsidRPr="00AD2B09" w:rsidRDefault="00334C8D" w:rsidP="00813258">
            <w:pPr>
              <w:keepNext/>
              <w:keepLines/>
              <w:suppressAutoHyphens/>
              <w:spacing w:before="0" w:after="0"/>
              <w:rPr>
                <w:rFonts w:eastAsia="Verdana" w:cs="Times New Roman"/>
                <w:sz w:val="14"/>
              </w:rPr>
            </w:pPr>
          </w:p>
        </w:tc>
        <w:tc>
          <w:tcPr>
            <w:tcW w:w="823" w:type="dxa"/>
          </w:tcPr>
          <w:p w14:paraId="17DFE666"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813258">
            <w:pPr>
              <w:keepNext/>
              <w:keepLines/>
              <w:suppressAutoHyphens/>
              <w:spacing w:before="0" w:after="0"/>
              <w:rPr>
                <w:rFonts w:eastAsia="Verdana" w:cs="Times New Roman"/>
                <w:sz w:val="14"/>
              </w:rPr>
            </w:pPr>
          </w:p>
        </w:tc>
        <w:tc>
          <w:tcPr>
            <w:tcW w:w="2552" w:type="dxa"/>
          </w:tcPr>
          <w:p w14:paraId="4CFDF2B3" w14:textId="77777777" w:rsidR="00334C8D" w:rsidRPr="00AD2B09" w:rsidRDefault="00334C8D" w:rsidP="00813258">
            <w:pPr>
              <w:keepNext/>
              <w:keepLines/>
              <w:suppressAutoHyphens/>
              <w:spacing w:before="0" w:after="0"/>
              <w:rPr>
                <w:rFonts w:eastAsia="Verdana" w:cs="Times New Roman"/>
                <w:sz w:val="14"/>
              </w:rPr>
            </w:pPr>
          </w:p>
        </w:tc>
        <w:tc>
          <w:tcPr>
            <w:tcW w:w="823" w:type="dxa"/>
          </w:tcPr>
          <w:p w14:paraId="45548BC7" w14:textId="77777777" w:rsidR="00334C8D" w:rsidRPr="00334C8D" w:rsidRDefault="00334C8D" w:rsidP="00813258">
            <w:pPr>
              <w:keepNext/>
              <w:keepLines/>
              <w:suppressAutoHyphens/>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4E30FC70" w:rsidR="00334C8D" w:rsidRPr="00334C8D" w:rsidRDefault="00566D86" w:rsidP="00813258">
            <w:pPr>
              <w:keepNext/>
              <w:keepLines/>
              <w:suppressAutoHyphens/>
              <w:spacing w:before="0" w:after="0"/>
              <w:rPr>
                <w:rFonts w:eastAsia="Verdana" w:cs="Times New Roman"/>
                <w:sz w:val="14"/>
              </w:rPr>
            </w:pPr>
            <w:r>
              <w:rPr>
                <w:rFonts w:eastAsia="Verdana" w:cs="Times New Roman"/>
                <w:sz w:val="14"/>
              </w:rPr>
              <w:t>Č.j.</w:t>
            </w:r>
          </w:p>
        </w:tc>
        <w:tc>
          <w:tcPr>
            <w:tcW w:w="2552" w:type="dxa"/>
          </w:tcPr>
          <w:p w14:paraId="1F8D3FEE" w14:textId="63E8A214" w:rsidR="00334C8D" w:rsidRPr="00AD2B09" w:rsidRDefault="00243BC2" w:rsidP="00813258">
            <w:pPr>
              <w:keepNext/>
              <w:keepLines/>
              <w:suppressAutoHyphens/>
              <w:spacing w:before="0" w:after="0"/>
              <w:rPr>
                <w:rFonts w:eastAsia="Verdana" w:cs="Times New Roman"/>
                <w:sz w:val="14"/>
              </w:rPr>
            </w:pPr>
            <w:r w:rsidRPr="00243BC2">
              <w:rPr>
                <w:rFonts w:eastAsia="Verdana" w:cs="Times New Roman"/>
                <w:sz w:val="14"/>
                <w:szCs w:val="14"/>
              </w:rPr>
              <w:t>22184/2023-SŽ-SSZ-OVZ</w:t>
            </w:r>
          </w:p>
        </w:tc>
        <w:tc>
          <w:tcPr>
            <w:tcW w:w="823" w:type="dxa"/>
          </w:tcPr>
          <w:p w14:paraId="08DA4955" w14:textId="77777777" w:rsidR="00334C8D" w:rsidRPr="00334C8D" w:rsidRDefault="00334C8D" w:rsidP="00813258">
            <w:pPr>
              <w:keepNext/>
              <w:keepLines/>
              <w:suppressAutoHyphens/>
              <w:spacing w:before="0" w:after="0"/>
              <w:rPr>
                <w:rFonts w:eastAsia="Verdana" w:cs="Times New Roman"/>
                <w:sz w:val="14"/>
              </w:rPr>
            </w:pPr>
          </w:p>
        </w:tc>
      </w:tr>
      <w:tr w:rsidR="000C52A4" w:rsidRPr="00334C8D" w14:paraId="16F798B7" w14:textId="77777777" w:rsidTr="00A0644E">
        <w:trPr>
          <w:gridAfter w:val="1"/>
          <w:wAfter w:w="3685" w:type="dxa"/>
        </w:trPr>
        <w:tc>
          <w:tcPr>
            <w:tcW w:w="1361" w:type="dxa"/>
          </w:tcPr>
          <w:p w14:paraId="4D010D11" w14:textId="05223426"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Vyřizuje</w:t>
            </w:r>
          </w:p>
        </w:tc>
        <w:tc>
          <w:tcPr>
            <w:tcW w:w="2552" w:type="dxa"/>
          </w:tcPr>
          <w:p w14:paraId="3C5F16FF" w14:textId="5666F50C" w:rsidR="000C52A4" w:rsidRPr="00AD2B09" w:rsidRDefault="00243BC2" w:rsidP="000C52A4">
            <w:pPr>
              <w:keepNext/>
              <w:keepLines/>
              <w:suppressAutoHyphens/>
              <w:spacing w:before="0" w:after="0"/>
              <w:rPr>
                <w:rFonts w:eastAsia="Verdana" w:cs="Times New Roman"/>
                <w:sz w:val="14"/>
              </w:rPr>
            </w:pPr>
            <w:r>
              <w:rPr>
                <w:rFonts w:eastAsia="Verdana" w:cs="Times New Roman"/>
                <w:sz w:val="14"/>
                <w:szCs w:val="14"/>
              </w:rPr>
              <w:t>Ing. Jana Klomfarová</w:t>
            </w:r>
          </w:p>
        </w:tc>
        <w:tc>
          <w:tcPr>
            <w:tcW w:w="823" w:type="dxa"/>
          </w:tcPr>
          <w:p w14:paraId="27021BF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35B7FF1C" w14:textId="77777777" w:rsidTr="00A0644E">
        <w:trPr>
          <w:gridAfter w:val="1"/>
          <w:wAfter w:w="3685" w:type="dxa"/>
        </w:trPr>
        <w:tc>
          <w:tcPr>
            <w:tcW w:w="1361" w:type="dxa"/>
          </w:tcPr>
          <w:p w14:paraId="33AA70F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Mobil</w:t>
            </w:r>
          </w:p>
        </w:tc>
        <w:tc>
          <w:tcPr>
            <w:tcW w:w="2552" w:type="dxa"/>
          </w:tcPr>
          <w:p w14:paraId="2CBD387B" w14:textId="07C362FE" w:rsidR="000C52A4" w:rsidRPr="00AD2B09" w:rsidRDefault="000C52A4" w:rsidP="000C52A4">
            <w:pPr>
              <w:keepNext/>
              <w:keepLines/>
              <w:suppressAutoHyphens/>
              <w:spacing w:before="0" w:after="0"/>
              <w:rPr>
                <w:rFonts w:eastAsia="Verdana" w:cs="Times New Roman"/>
                <w:sz w:val="14"/>
              </w:rPr>
            </w:pPr>
            <w:r>
              <w:rPr>
                <w:rFonts w:eastAsia="Verdana" w:cs="Times New Roman"/>
                <w:sz w:val="14"/>
              </w:rPr>
              <w:t>+420</w:t>
            </w:r>
            <w:r w:rsidR="00243BC2">
              <w:rPr>
                <w:rFonts w:eastAsia="Verdana" w:cs="Times New Roman"/>
                <w:sz w:val="14"/>
              </w:rPr>
              <w:t> </w:t>
            </w:r>
            <w:r w:rsidR="00243BC2">
              <w:rPr>
                <w:rFonts w:eastAsia="Verdana" w:cs="Times New Roman"/>
                <w:sz w:val="14"/>
                <w:szCs w:val="14"/>
              </w:rPr>
              <w:t>725 558 384</w:t>
            </w:r>
          </w:p>
        </w:tc>
        <w:tc>
          <w:tcPr>
            <w:tcW w:w="823" w:type="dxa"/>
          </w:tcPr>
          <w:p w14:paraId="722CA4B7"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549FFBF7" w14:textId="77777777" w:rsidTr="00A0644E">
        <w:trPr>
          <w:gridAfter w:val="1"/>
          <w:wAfter w:w="3685" w:type="dxa"/>
        </w:trPr>
        <w:tc>
          <w:tcPr>
            <w:tcW w:w="1361" w:type="dxa"/>
          </w:tcPr>
          <w:p w14:paraId="6EC2AE1C" w14:textId="77777777" w:rsidR="000C52A4" w:rsidRPr="00334C8D" w:rsidRDefault="000C52A4" w:rsidP="000C52A4">
            <w:pPr>
              <w:keepNext/>
              <w:keepLines/>
              <w:suppressAutoHyphens/>
              <w:spacing w:before="0" w:after="0"/>
              <w:rPr>
                <w:rFonts w:eastAsia="Verdana" w:cs="Times New Roman"/>
                <w:sz w:val="14"/>
              </w:rPr>
            </w:pPr>
            <w:r w:rsidRPr="00334C8D">
              <w:rPr>
                <w:rFonts w:eastAsia="Verdana" w:cs="Times New Roman"/>
                <w:sz w:val="14"/>
              </w:rPr>
              <w:t>E-mail</w:t>
            </w:r>
          </w:p>
        </w:tc>
        <w:tc>
          <w:tcPr>
            <w:tcW w:w="2552" w:type="dxa"/>
          </w:tcPr>
          <w:p w14:paraId="3D9E5950" w14:textId="732F6D47" w:rsidR="000C52A4" w:rsidRPr="00AD2B09" w:rsidRDefault="00243BC2" w:rsidP="000C52A4">
            <w:pPr>
              <w:keepNext/>
              <w:keepLines/>
              <w:suppressAutoHyphens/>
              <w:spacing w:before="0" w:after="0"/>
              <w:rPr>
                <w:rFonts w:eastAsia="Verdana" w:cs="Times New Roman"/>
                <w:sz w:val="14"/>
              </w:rPr>
            </w:pPr>
            <w:r w:rsidRPr="00243BC2">
              <w:rPr>
                <w:rFonts w:eastAsia="Verdana" w:cs="Times New Roman"/>
                <w:sz w:val="14"/>
                <w:szCs w:val="14"/>
              </w:rPr>
              <w:t>Klomfarova</w:t>
            </w:r>
            <w:r w:rsidR="000C52A4">
              <w:rPr>
                <w:rFonts w:eastAsia="Verdana" w:cs="Times New Roman"/>
                <w:sz w:val="14"/>
              </w:rPr>
              <w:t>@spravazeleznic.cz</w:t>
            </w:r>
          </w:p>
        </w:tc>
        <w:tc>
          <w:tcPr>
            <w:tcW w:w="823" w:type="dxa"/>
          </w:tcPr>
          <w:p w14:paraId="7ED536B0" w14:textId="07EC1949" w:rsidR="000C52A4" w:rsidRPr="00334C8D" w:rsidRDefault="000C52A4" w:rsidP="000C52A4">
            <w:pPr>
              <w:keepNext/>
              <w:keepLines/>
              <w:suppressAutoHyphens/>
              <w:spacing w:before="0" w:after="0"/>
              <w:rPr>
                <w:rFonts w:eastAsia="Verdana" w:cs="Times New Roman"/>
                <w:sz w:val="14"/>
              </w:rPr>
            </w:pPr>
            <w:r>
              <w:rPr>
                <w:rFonts w:eastAsia="Verdana" w:cs="Times New Roman"/>
                <w:sz w:val="14"/>
              </w:rPr>
              <w:t xml:space="preserve"> </w:t>
            </w:r>
          </w:p>
        </w:tc>
      </w:tr>
      <w:tr w:rsidR="000C52A4" w:rsidRPr="00334C8D" w14:paraId="6E40C6C8" w14:textId="77777777" w:rsidTr="00A0644E">
        <w:tc>
          <w:tcPr>
            <w:tcW w:w="1361" w:type="dxa"/>
          </w:tcPr>
          <w:p w14:paraId="189220A7"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38FB6C0D" w14:textId="77777777" w:rsidR="000C52A4" w:rsidRPr="00AD2B09" w:rsidRDefault="000C52A4" w:rsidP="000C52A4">
            <w:pPr>
              <w:keepNext/>
              <w:keepLines/>
              <w:suppressAutoHyphens/>
              <w:spacing w:before="0" w:after="0"/>
              <w:rPr>
                <w:rFonts w:eastAsia="Verdana" w:cs="Times New Roman"/>
                <w:sz w:val="14"/>
              </w:rPr>
            </w:pPr>
          </w:p>
        </w:tc>
        <w:tc>
          <w:tcPr>
            <w:tcW w:w="823" w:type="dxa"/>
          </w:tcPr>
          <w:p w14:paraId="206D1035"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131380CC"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F639785" w14:textId="77777777" w:rsidTr="00A0644E">
        <w:tc>
          <w:tcPr>
            <w:tcW w:w="1361" w:type="dxa"/>
          </w:tcPr>
          <w:p w14:paraId="4616DB18" w14:textId="3E07184D" w:rsidR="000C52A4" w:rsidRPr="00334C8D" w:rsidRDefault="000C52A4" w:rsidP="000C52A4">
            <w:pPr>
              <w:keepNext/>
              <w:keepLines/>
              <w:suppressAutoHyphens/>
              <w:spacing w:before="0" w:after="0"/>
              <w:rPr>
                <w:rFonts w:eastAsia="Verdana" w:cs="Times New Roman"/>
                <w:sz w:val="14"/>
              </w:rPr>
            </w:pPr>
          </w:p>
        </w:tc>
        <w:tc>
          <w:tcPr>
            <w:tcW w:w="2552" w:type="dxa"/>
          </w:tcPr>
          <w:p w14:paraId="75E00C0B" w14:textId="260C3983" w:rsidR="000C52A4" w:rsidRPr="00AD2B09" w:rsidRDefault="000C52A4" w:rsidP="000C52A4">
            <w:pPr>
              <w:keepNext/>
              <w:keepLines/>
              <w:suppressAutoHyphens/>
              <w:spacing w:before="0" w:after="0"/>
              <w:rPr>
                <w:rFonts w:eastAsia="Verdana" w:cs="Times New Roman"/>
                <w:sz w:val="14"/>
              </w:rPr>
            </w:pPr>
          </w:p>
        </w:tc>
        <w:tc>
          <w:tcPr>
            <w:tcW w:w="823" w:type="dxa"/>
          </w:tcPr>
          <w:p w14:paraId="2F3B0A84"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70F41FF" w14:textId="77777777" w:rsidR="000C52A4" w:rsidRPr="00334C8D" w:rsidRDefault="000C52A4" w:rsidP="000C52A4">
            <w:pPr>
              <w:keepNext/>
              <w:keepLines/>
              <w:suppressAutoHyphens/>
              <w:spacing w:before="0" w:after="0"/>
              <w:rPr>
                <w:rFonts w:eastAsia="Verdana" w:cs="Times New Roman"/>
                <w:sz w:val="14"/>
              </w:rPr>
            </w:pPr>
          </w:p>
        </w:tc>
      </w:tr>
      <w:tr w:rsidR="000C52A4" w:rsidRPr="00334C8D" w14:paraId="661B66D9" w14:textId="77777777" w:rsidTr="00A0644E">
        <w:tc>
          <w:tcPr>
            <w:tcW w:w="1361" w:type="dxa"/>
          </w:tcPr>
          <w:p w14:paraId="5AB8B8E2" w14:textId="77777777" w:rsidR="000C52A4" w:rsidRPr="00334C8D" w:rsidRDefault="000C52A4" w:rsidP="000C52A4">
            <w:pPr>
              <w:keepNext/>
              <w:keepLines/>
              <w:suppressAutoHyphens/>
              <w:spacing w:before="0" w:after="0"/>
              <w:rPr>
                <w:rFonts w:eastAsia="Verdana" w:cs="Times New Roman"/>
                <w:sz w:val="14"/>
              </w:rPr>
            </w:pPr>
          </w:p>
          <w:p w14:paraId="7B99A1C5" w14:textId="77777777" w:rsidR="000C52A4" w:rsidRPr="00334C8D" w:rsidRDefault="000C52A4" w:rsidP="000C52A4">
            <w:pPr>
              <w:keepNext/>
              <w:keepLines/>
              <w:suppressAutoHyphens/>
              <w:spacing w:before="0" w:after="0"/>
              <w:rPr>
                <w:rFonts w:eastAsia="Verdana" w:cs="Times New Roman"/>
                <w:sz w:val="14"/>
              </w:rPr>
            </w:pPr>
          </w:p>
          <w:p w14:paraId="4FE00371" w14:textId="77777777" w:rsidR="000C52A4" w:rsidRPr="00334C8D" w:rsidRDefault="000C52A4" w:rsidP="000C52A4">
            <w:pPr>
              <w:keepNext/>
              <w:keepLines/>
              <w:suppressAutoHyphens/>
              <w:spacing w:before="0" w:after="0"/>
              <w:rPr>
                <w:rFonts w:eastAsia="Verdana" w:cs="Times New Roman"/>
                <w:sz w:val="14"/>
              </w:rPr>
            </w:pPr>
          </w:p>
        </w:tc>
        <w:tc>
          <w:tcPr>
            <w:tcW w:w="2552" w:type="dxa"/>
          </w:tcPr>
          <w:p w14:paraId="5FF0F013" w14:textId="77777777" w:rsidR="000C52A4" w:rsidRPr="00334C8D" w:rsidRDefault="000C52A4" w:rsidP="000C52A4">
            <w:pPr>
              <w:keepNext/>
              <w:keepLines/>
              <w:suppressAutoHyphens/>
              <w:spacing w:before="0" w:after="0"/>
              <w:rPr>
                <w:rFonts w:eastAsia="Verdana" w:cs="Times New Roman"/>
                <w:sz w:val="14"/>
              </w:rPr>
            </w:pPr>
          </w:p>
        </w:tc>
        <w:tc>
          <w:tcPr>
            <w:tcW w:w="823" w:type="dxa"/>
          </w:tcPr>
          <w:p w14:paraId="3936E391" w14:textId="77777777" w:rsidR="000C52A4" w:rsidRPr="00334C8D" w:rsidRDefault="000C52A4" w:rsidP="000C52A4">
            <w:pPr>
              <w:keepNext/>
              <w:keepLines/>
              <w:suppressAutoHyphens/>
              <w:spacing w:before="0" w:after="0"/>
              <w:rPr>
                <w:rFonts w:eastAsia="Verdana" w:cs="Times New Roman"/>
                <w:sz w:val="14"/>
              </w:rPr>
            </w:pPr>
          </w:p>
        </w:tc>
        <w:tc>
          <w:tcPr>
            <w:tcW w:w="3685" w:type="dxa"/>
          </w:tcPr>
          <w:p w14:paraId="09C50347" w14:textId="77777777" w:rsidR="000C52A4" w:rsidRPr="00334C8D" w:rsidRDefault="000C52A4" w:rsidP="000C52A4">
            <w:pPr>
              <w:keepNext/>
              <w:keepLines/>
              <w:suppressAutoHyphens/>
              <w:spacing w:before="0" w:after="0"/>
              <w:rPr>
                <w:rFonts w:eastAsia="Verdana" w:cs="Times New Roman"/>
                <w:sz w:val="14"/>
              </w:rPr>
            </w:pPr>
          </w:p>
        </w:tc>
      </w:tr>
    </w:tbl>
    <w:p w14:paraId="44458B8B" w14:textId="77777777" w:rsidR="005D636E" w:rsidRPr="005D636E" w:rsidRDefault="005D636E" w:rsidP="00813258">
      <w:pPr>
        <w:keepNext/>
        <w:keepLines/>
        <w:suppressAutoHyphens/>
        <w:spacing w:after="0" w:line="264" w:lineRule="auto"/>
        <w:outlineLvl w:val="0"/>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3B071EE0" w14:textId="711A905B" w:rsidR="005D636E" w:rsidRPr="005D636E" w:rsidRDefault="005D636E" w:rsidP="008A163E">
      <w:pPr>
        <w:keepNext/>
        <w:keepLines/>
        <w:suppressAutoHyphens/>
        <w:spacing w:after="0" w:line="264" w:lineRule="auto"/>
        <w:jc w:val="both"/>
        <w:rPr>
          <w:rFonts w:eastAsia="Verdana" w:cs="Times New Roman"/>
          <w:noProof/>
          <w:szCs w:val="18"/>
        </w:rPr>
      </w:pPr>
      <w:r w:rsidRPr="00B46626">
        <w:rPr>
          <w:rFonts w:eastAsia="Verdana" w:cs="Times New Roman"/>
          <w:noProof/>
          <w:szCs w:val="18"/>
        </w:rPr>
        <w:t xml:space="preserve">k nadlimitní sektorové veřejné </w:t>
      </w:r>
      <w:r w:rsidR="00934A4F" w:rsidRPr="00B46626">
        <w:rPr>
          <w:rFonts w:eastAsia="Verdana" w:cs="Times New Roman"/>
          <w:noProof/>
          <w:szCs w:val="18"/>
        </w:rPr>
        <w:t>zakázce na</w:t>
      </w:r>
      <w:r w:rsidR="00934A4F">
        <w:rPr>
          <w:rFonts w:eastAsia="Verdana" w:cs="Times New Roman"/>
          <w:noProof/>
          <w:szCs w:val="18"/>
        </w:rPr>
        <w:t xml:space="preserve"> služby </w:t>
      </w:r>
      <w:r w:rsidRPr="00B46626">
        <w:rPr>
          <w:rFonts w:eastAsia="Verdana" w:cs="Times New Roman"/>
          <w:noProof/>
          <w:szCs w:val="18"/>
        </w:rPr>
        <w:t xml:space="preserve">zadávané </w:t>
      </w:r>
      <w:r w:rsidR="00A31F78" w:rsidRPr="00B46626">
        <w:rPr>
          <w:rFonts w:eastAsia="Verdana" w:cs="Times New Roman"/>
          <w:noProof/>
          <w:szCs w:val="18"/>
        </w:rPr>
        <w:t>v</w:t>
      </w:r>
      <w:r w:rsidR="00D65ED9">
        <w:rPr>
          <w:rFonts w:eastAsia="Verdana" w:cs="Times New Roman"/>
          <w:noProof/>
          <w:szCs w:val="18"/>
        </w:rPr>
        <w:t> otevřeném řízení</w:t>
      </w:r>
      <w:r w:rsidR="00A31F78" w:rsidRPr="00B46626">
        <w:rPr>
          <w:rFonts w:eastAsia="Verdana" w:cs="Times New Roman"/>
          <w:noProof/>
          <w:szCs w:val="18"/>
        </w:rPr>
        <w:t xml:space="preserve"> podle § </w:t>
      </w:r>
      <w:r w:rsidR="00D65ED9">
        <w:rPr>
          <w:rFonts w:eastAsia="Verdana" w:cs="Times New Roman"/>
          <w:noProof/>
          <w:szCs w:val="18"/>
        </w:rPr>
        <w:t xml:space="preserve">56 a násl. </w:t>
      </w:r>
      <w:r w:rsidR="00A31F78" w:rsidRPr="00B46626">
        <w:rPr>
          <w:rFonts w:eastAsia="Verdana" w:cs="Times New Roman"/>
          <w:noProof/>
          <w:szCs w:val="18"/>
        </w:rPr>
        <w:t>zákona</w:t>
      </w:r>
      <w:r w:rsidR="00D65ED9">
        <w:rPr>
          <w:rFonts w:eastAsia="Verdana" w:cs="Times New Roman"/>
          <w:noProof/>
          <w:szCs w:val="18"/>
        </w:rPr>
        <w:t xml:space="preserve"> </w:t>
      </w:r>
      <w:r w:rsidRPr="00B46626">
        <w:rPr>
          <w:rFonts w:eastAsia="Verdana" w:cs="Times New Roman"/>
          <w:noProof/>
          <w:szCs w:val="18"/>
        </w:rPr>
        <w:t>č. 134/2016 Sb., o zadávání veřejných zakázek, ve znění pozdějších předpisů (dále jen „</w:t>
      </w:r>
      <w:r w:rsidRPr="0024328A">
        <w:rPr>
          <w:rFonts w:eastAsia="Verdana" w:cs="Times New Roman"/>
          <w:b/>
          <w:bCs/>
          <w:noProof/>
          <w:szCs w:val="18"/>
        </w:rPr>
        <w:t>ZZVZ</w:t>
      </w:r>
      <w:r w:rsidRPr="00B46626">
        <w:rPr>
          <w:rFonts w:eastAsia="Verdana" w:cs="Times New Roman"/>
          <w:noProof/>
          <w:szCs w:val="18"/>
        </w:rPr>
        <w:t xml:space="preserve">“), </w:t>
      </w:r>
      <w:r w:rsidR="00C17A7E" w:rsidRPr="00C17A7E">
        <w:rPr>
          <w:rFonts w:eastAsia="Verdana" w:cs="Times New Roman"/>
          <w:noProof/>
          <w:szCs w:val="18"/>
        </w:rPr>
        <w:t xml:space="preserve">v souvislosti s výkonem relevantní činnosti dle § 151 odst. 1 ZZVZ </w:t>
      </w:r>
      <w:r w:rsidRPr="00B46626">
        <w:rPr>
          <w:rFonts w:eastAsia="Verdana" w:cs="Times New Roman"/>
          <w:noProof/>
          <w:szCs w:val="18"/>
        </w:rPr>
        <w:t>s názvem</w:t>
      </w:r>
    </w:p>
    <w:p w14:paraId="1B3846E0" w14:textId="0872B459" w:rsidR="005D636E" w:rsidRPr="00AD2B09" w:rsidRDefault="005D636E" w:rsidP="008A163E">
      <w:pPr>
        <w:keepNext/>
        <w:keepLines/>
        <w:suppressAutoHyphens/>
        <w:spacing w:after="240" w:line="264" w:lineRule="auto"/>
        <w:jc w:val="both"/>
        <w:outlineLvl w:val="2"/>
        <w:rPr>
          <w:rFonts w:eastAsia="Times New Roman" w:cs="Times New Roman"/>
          <w:b/>
          <w:noProof/>
          <w:sz w:val="24"/>
          <w:szCs w:val="24"/>
        </w:rPr>
      </w:pPr>
      <w:r w:rsidRPr="00AD2B09">
        <w:rPr>
          <w:rFonts w:eastAsia="Times New Roman" w:cs="Times New Roman"/>
          <w:b/>
          <w:noProof/>
          <w:sz w:val="24"/>
          <w:szCs w:val="24"/>
        </w:rPr>
        <w:t>„</w:t>
      </w:r>
      <w:r w:rsidR="00F35E02" w:rsidRPr="00F35E02">
        <w:rPr>
          <w:rFonts w:eastAsia="Times New Roman" w:cs="Times New Roman"/>
          <w:b/>
          <w:noProof/>
          <w:sz w:val="24"/>
          <w:szCs w:val="24"/>
        </w:rPr>
        <w:t>Poskytování služeb právního, finančního, ekonomického a technického poradenství před a v průběhu zadávacího řízení na výběr koncesionáře pro projekt PPP Nemanice – Ševětín</w:t>
      </w:r>
      <w:r w:rsidRPr="00AD2B09">
        <w:rPr>
          <w:rFonts w:eastAsia="Times New Roman" w:cs="Times New Roman"/>
          <w:b/>
          <w:noProof/>
          <w:sz w:val="24"/>
          <w:szCs w:val="24"/>
        </w:rPr>
        <w:t>“</w:t>
      </w:r>
    </w:p>
    <w:p w14:paraId="5903CE80" w14:textId="2F42BC14" w:rsidR="005D636E" w:rsidRPr="005D636E" w:rsidRDefault="005D636E" w:rsidP="00813258">
      <w:pPr>
        <w:keepNext/>
        <w:keepLines/>
        <w:suppressAutoHyphens/>
        <w:spacing w:after="240" w:line="264" w:lineRule="auto"/>
        <w:rPr>
          <w:rFonts w:eastAsia="Verdana" w:cs="Times New Roman"/>
          <w:szCs w:val="18"/>
        </w:rPr>
      </w:pPr>
      <w:r w:rsidRPr="005D636E">
        <w:rPr>
          <w:rFonts w:eastAsia="Verdana" w:cs="Times New Roman"/>
          <w:szCs w:val="18"/>
        </w:rPr>
        <w:t>(dále jen „</w:t>
      </w:r>
      <w:r w:rsidR="009C1EB0">
        <w:rPr>
          <w:rFonts w:eastAsia="Verdana" w:cs="Times New Roman"/>
          <w:b/>
          <w:szCs w:val="18"/>
        </w:rPr>
        <w:t>z</w:t>
      </w:r>
      <w:r w:rsidRPr="005D636E">
        <w:rPr>
          <w:rFonts w:eastAsia="Verdana" w:cs="Times New Roman"/>
          <w:b/>
          <w:szCs w:val="18"/>
        </w:rPr>
        <w:t>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813258">
      <w:pPr>
        <w:keepNext/>
        <w:keepLines/>
        <w:suppressAutoHyphens/>
        <w:spacing w:after="240" w:line="264" w:lineRule="auto"/>
        <w:rPr>
          <w:rFonts w:eastAsia="Verdana" w:cs="Times New Roman"/>
          <w:szCs w:val="18"/>
        </w:rPr>
      </w:pPr>
    </w:p>
    <w:p w14:paraId="61812E7F" w14:textId="77777777" w:rsidR="00922FDF" w:rsidRDefault="00C84605" w:rsidP="00922FDF">
      <w:pPr>
        <w:pStyle w:val="Nadpis1"/>
        <w:spacing w:after="240"/>
      </w:pPr>
      <w:r w:rsidRPr="00C84605">
        <w:t>Identifikační údaje Zadavatele</w:t>
      </w:r>
      <w:r>
        <w:t xml:space="preserve"> a další informace</w:t>
      </w:r>
      <w:r w:rsidR="007F3B99" w:rsidRPr="001549EC">
        <w:t>:</w:t>
      </w:r>
    </w:p>
    <w:p w14:paraId="02912AC2" w14:textId="4CBA0324" w:rsidR="00922FDF" w:rsidRPr="007F488B" w:rsidRDefault="009274EB" w:rsidP="007F488B">
      <w:pPr>
        <w:pStyle w:val="Nadpis2"/>
        <w:spacing w:after="120"/>
        <w:rPr>
          <w:u w:val="single"/>
        </w:rPr>
      </w:pPr>
      <w:r w:rsidRPr="007F488B">
        <w:rPr>
          <w:u w:val="single"/>
        </w:rPr>
        <w:t>Z</w:t>
      </w:r>
      <w:r w:rsidR="00922FDF" w:rsidRPr="007F488B">
        <w:rPr>
          <w:u w:val="single"/>
        </w:rPr>
        <w:t xml:space="preserve">ákladní údaje o </w:t>
      </w:r>
      <w:r w:rsidR="009C1EB0" w:rsidRPr="007F488B">
        <w:rPr>
          <w:u w:val="single"/>
        </w:rPr>
        <w:t>z</w:t>
      </w:r>
      <w:r w:rsidR="00922FDF" w:rsidRPr="007F488B">
        <w:rPr>
          <w:u w:val="single"/>
        </w:rPr>
        <w:t>adavateli</w:t>
      </w:r>
    </w:p>
    <w:p w14:paraId="59A7A4AE" w14:textId="78FC147C" w:rsidR="005D636E" w:rsidRPr="005D636E" w:rsidRDefault="005D636E" w:rsidP="007F488B">
      <w:pPr>
        <w:keepNext/>
        <w:keepLines/>
        <w:suppressAutoHyphens/>
        <w:spacing w:before="0" w:after="0" w:line="264" w:lineRule="auto"/>
        <w:ind w:left="1276"/>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00976029">
        <w:rPr>
          <w:rFonts w:eastAsia="Verdana" w:cs="Times New Roman"/>
          <w:noProof/>
          <w:szCs w:val="18"/>
        </w:rPr>
        <w:tab/>
      </w:r>
      <w:r w:rsidRPr="005D636E">
        <w:rPr>
          <w:rFonts w:eastAsia="Verdana" w:cs="Times New Roman"/>
          <w:b/>
          <w:noProof/>
          <w:szCs w:val="18"/>
        </w:rPr>
        <w:t>Správa železnic, státní organizace</w:t>
      </w:r>
    </w:p>
    <w:p w14:paraId="0F658ED7" w14:textId="5EA19C75" w:rsidR="005D636E" w:rsidRPr="005D636E" w:rsidRDefault="005D636E" w:rsidP="007F488B">
      <w:pPr>
        <w:keepNext/>
        <w:keepLines/>
        <w:suppressAutoHyphens/>
        <w:spacing w:before="0" w:after="0" w:line="264" w:lineRule="auto"/>
        <w:ind w:left="1276"/>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r>
      <w:r w:rsidR="00976029">
        <w:rPr>
          <w:rFonts w:eastAsia="Verdana" w:cs="Times New Roman"/>
          <w:noProof/>
          <w:szCs w:val="18"/>
        </w:rPr>
        <w:tab/>
      </w:r>
      <w:r w:rsidRPr="005D636E">
        <w:rPr>
          <w:rFonts w:eastAsia="Verdana" w:cs="Times New Roman"/>
          <w:noProof/>
          <w:szCs w:val="18"/>
        </w:rPr>
        <w:t xml:space="preserve">Dlážděná 1003/7, Praha 1 – Nové Město, PSČ 110 00 </w:t>
      </w:r>
    </w:p>
    <w:p w14:paraId="46258999" w14:textId="795F7893" w:rsidR="005D636E" w:rsidRPr="005D636E" w:rsidRDefault="005D636E" w:rsidP="007F488B">
      <w:pPr>
        <w:keepNext/>
        <w:keepLines/>
        <w:suppressAutoHyphens/>
        <w:spacing w:before="0" w:after="0" w:line="264" w:lineRule="auto"/>
        <w:ind w:left="1276"/>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r>
      <w:r w:rsidR="00976029">
        <w:rPr>
          <w:rFonts w:eastAsia="Verdana" w:cs="Times New Roman"/>
          <w:noProof/>
          <w:szCs w:val="18"/>
        </w:rPr>
        <w:tab/>
      </w:r>
      <w:r w:rsidRPr="005D636E">
        <w:rPr>
          <w:rFonts w:eastAsia="Verdana" w:cs="Times New Roman"/>
          <w:noProof/>
          <w:szCs w:val="18"/>
        </w:rPr>
        <w:t>709 94 234</w:t>
      </w:r>
    </w:p>
    <w:p w14:paraId="291C94F7" w14:textId="7408317D" w:rsidR="005D636E" w:rsidRPr="005D636E" w:rsidRDefault="005D636E" w:rsidP="007F488B">
      <w:pPr>
        <w:keepNext/>
        <w:keepLines/>
        <w:suppressAutoHyphens/>
        <w:spacing w:before="0" w:after="0" w:line="264" w:lineRule="auto"/>
        <w:ind w:left="1276"/>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r>
      <w:r w:rsidR="00976029">
        <w:rPr>
          <w:rFonts w:eastAsia="Verdana" w:cs="Times New Roman"/>
          <w:noProof/>
          <w:szCs w:val="18"/>
        </w:rPr>
        <w:tab/>
      </w:r>
      <w:r w:rsidRPr="005D636E">
        <w:rPr>
          <w:rFonts w:eastAsia="Verdana" w:cs="Times New Roman"/>
          <w:noProof/>
          <w:szCs w:val="18"/>
        </w:rPr>
        <w:t>CZ 70994234</w:t>
      </w:r>
    </w:p>
    <w:p w14:paraId="488B8E2A" w14:textId="65C93BCE" w:rsidR="005D636E" w:rsidRPr="005D636E" w:rsidRDefault="005D636E" w:rsidP="00976029">
      <w:pPr>
        <w:keepNext/>
        <w:keepLines/>
        <w:suppressAutoHyphens/>
        <w:spacing w:before="0" w:after="240" w:line="264" w:lineRule="auto"/>
        <w:ind w:left="3540" w:hanging="2264"/>
        <w:jc w:val="both"/>
        <w:rPr>
          <w:rFonts w:eastAsia="Verdana" w:cs="Times New Roman"/>
          <w:noProof/>
          <w:szCs w:val="18"/>
        </w:rPr>
      </w:pPr>
      <w:r w:rsidRPr="005D636E">
        <w:rPr>
          <w:rFonts w:eastAsia="Verdana" w:cs="Times New Roman"/>
          <w:noProof/>
          <w:szCs w:val="18"/>
        </w:rPr>
        <w:t>Zaps</w:t>
      </w:r>
      <w:r w:rsidR="00B46A4B">
        <w:rPr>
          <w:rFonts w:eastAsia="Verdana" w:cs="Times New Roman"/>
          <w:noProof/>
          <w:szCs w:val="18"/>
        </w:rPr>
        <w:t>án:</w:t>
      </w:r>
      <w:r w:rsidR="00122B43">
        <w:rPr>
          <w:rFonts w:eastAsia="Verdana" w:cs="Times New Roman"/>
          <w:noProof/>
          <w:szCs w:val="18"/>
        </w:rPr>
        <w:tab/>
      </w:r>
      <w:r w:rsidRPr="005D636E">
        <w:rPr>
          <w:rFonts w:eastAsia="Verdana" w:cs="Times New Roman"/>
          <w:noProof/>
          <w:szCs w:val="18"/>
        </w:rPr>
        <w:t>v obchodním rejstříku vedeném Městským soudem v Praze oodílu A, vložce 48384</w:t>
      </w:r>
    </w:p>
    <w:p w14:paraId="2CD9B135" w14:textId="0046A26E" w:rsidR="005D636E" w:rsidRPr="00544C4F" w:rsidRDefault="005D636E" w:rsidP="00976029">
      <w:pPr>
        <w:keepNext/>
        <w:keepLines/>
        <w:suppressAutoHyphens/>
        <w:spacing w:after="240" w:line="264" w:lineRule="auto"/>
        <w:ind w:left="3540" w:hanging="2264"/>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AA1481" w:rsidRPr="00E23380">
        <w:rPr>
          <w:rFonts w:eastAsia="Verdana" w:cs="Times New Roman"/>
          <w:b/>
          <w:noProof/>
          <w:szCs w:val="18"/>
        </w:rPr>
        <w:t xml:space="preserve">Ing. Mojmírem Nejezchlebem, </w:t>
      </w:r>
      <w:r w:rsidR="00377A8E" w:rsidRPr="00E23380">
        <w:rPr>
          <w:rFonts w:eastAsia="Verdana" w:cs="Times New Roman"/>
          <w:bCs/>
          <w:noProof/>
          <w:szCs w:val="18"/>
        </w:rPr>
        <w:t xml:space="preserve">náměstkem </w:t>
      </w:r>
      <w:r w:rsidR="00976029" w:rsidRPr="00E23380">
        <w:rPr>
          <w:rFonts w:eastAsia="Verdana" w:cs="Times New Roman"/>
          <w:bCs/>
          <w:noProof/>
          <w:szCs w:val="18"/>
        </w:rPr>
        <w:t>generálního ředitele</w:t>
      </w:r>
      <w:r w:rsidR="00377A8E" w:rsidRPr="00E23380">
        <w:rPr>
          <w:rFonts w:eastAsia="Verdana" w:cs="Times New Roman"/>
          <w:bCs/>
          <w:noProof/>
          <w:szCs w:val="18"/>
        </w:rPr>
        <w:t xml:space="preserve"> pro </w:t>
      </w:r>
      <w:r w:rsidR="00AA1481" w:rsidRPr="00E23380">
        <w:rPr>
          <w:rFonts w:eastAsia="Verdana" w:cs="Times New Roman"/>
          <w:bCs/>
          <w:noProof/>
          <w:szCs w:val="18"/>
        </w:rPr>
        <w:t>modernizaci dráhy</w:t>
      </w:r>
    </w:p>
    <w:p w14:paraId="169EAE69" w14:textId="214E2096" w:rsidR="00813258" w:rsidRDefault="005D636E" w:rsidP="007F488B">
      <w:pPr>
        <w:keepNext/>
        <w:keepLines/>
        <w:suppressAutoHyphens/>
        <w:spacing w:after="240" w:line="264" w:lineRule="auto"/>
        <w:ind w:left="1276"/>
        <w:jc w:val="both"/>
        <w:rPr>
          <w:rFonts w:eastAsia="Verdana" w:cs="Times New Roman"/>
          <w:color w:val="0563C1"/>
          <w:szCs w:val="18"/>
          <w:u w:val="single"/>
        </w:rPr>
      </w:pPr>
      <w:r w:rsidRPr="005D636E">
        <w:rPr>
          <w:rFonts w:eastAsia="Verdana" w:cs="Times New Roman"/>
          <w:noProof/>
          <w:szCs w:val="18"/>
        </w:rPr>
        <w:t xml:space="preserve">Profil </w:t>
      </w:r>
      <w:r w:rsidR="009C1EB0">
        <w:rPr>
          <w:rFonts w:eastAsia="Verdana" w:cs="Times New Roman"/>
          <w:noProof/>
          <w:szCs w:val="18"/>
        </w:rPr>
        <w:t>z</w:t>
      </w:r>
      <w:r w:rsidRPr="005D636E">
        <w:rPr>
          <w:rFonts w:eastAsia="Verdana" w:cs="Times New Roman"/>
          <w:noProof/>
          <w:szCs w:val="18"/>
        </w:rPr>
        <w:t xml:space="preserve">adavatele: </w:t>
      </w:r>
      <w:r w:rsidR="00976029">
        <w:rPr>
          <w:rFonts w:eastAsia="Verdana" w:cs="Times New Roman"/>
          <w:noProof/>
          <w:szCs w:val="18"/>
        </w:rPr>
        <w:tab/>
      </w:r>
      <w:hyperlink r:id="rId11" w:history="1">
        <w:r w:rsidR="00976029" w:rsidRPr="00C52ADD">
          <w:rPr>
            <w:rStyle w:val="Hypertextovodkaz"/>
            <w:rFonts w:eastAsia="Verdana" w:cs="Times New Roman"/>
            <w:szCs w:val="18"/>
          </w:rPr>
          <w:t>https://zakazky.spravazeleznic.cz/</w:t>
        </w:r>
      </w:hyperlink>
    </w:p>
    <w:p w14:paraId="06037EBD" w14:textId="458A72CA" w:rsidR="001549EC" w:rsidRPr="007F488B" w:rsidRDefault="001F3E28" w:rsidP="00646BC3">
      <w:pPr>
        <w:pStyle w:val="Nadpis2"/>
        <w:rPr>
          <w:u w:val="single"/>
        </w:rPr>
      </w:pPr>
      <w:bookmarkStart w:id="0" w:name="_Toc523304445"/>
      <w:bookmarkStart w:id="1" w:name="_Toc6474818"/>
      <w:bookmarkStart w:id="2" w:name="_Toc523304909"/>
      <w:r w:rsidRPr="007F488B">
        <w:rPr>
          <w:u w:val="single"/>
        </w:rPr>
        <w:t>Označení osoby, která vypracovala část zadávací dokumentace</w:t>
      </w:r>
    </w:p>
    <w:p w14:paraId="5AA4233C" w14:textId="3DA4572A" w:rsidR="001F3E28" w:rsidRDefault="001F3E28" w:rsidP="007F488B">
      <w:pPr>
        <w:ind w:left="1276"/>
      </w:pPr>
      <w:r w:rsidRPr="001F3E28">
        <w:t xml:space="preserve">Zadavatel uvádí, že níže uvedené části zadávací dokumentace vypracovala osoba odlišná od </w:t>
      </w:r>
      <w:r w:rsidR="009C1EB0">
        <w:t>z</w:t>
      </w:r>
      <w:r w:rsidRPr="001F3E28">
        <w:t>adavatele, a to konkrétně:</w:t>
      </w:r>
    </w:p>
    <w:tbl>
      <w:tblPr>
        <w:tblStyle w:val="Mkatabulky2"/>
        <w:tblW w:w="0" w:type="auto"/>
        <w:tblInd w:w="1271" w:type="dxa"/>
        <w:tblLook w:val="04A0" w:firstRow="1" w:lastRow="0" w:firstColumn="1" w:lastColumn="0" w:noHBand="0" w:noVBand="1"/>
      </w:tblPr>
      <w:tblGrid>
        <w:gridCol w:w="3013"/>
        <w:gridCol w:w="4408"/>
      </w:tblGrid>
      <w:tr w:rsidR="00BE0A42" w:rsidRPr="00BE0A42" w14:paraId="2754D184" w14:textId="77777777" w:rsidTr="007F488B">
        <w:tc>
          <w:tcPr>
            <w:tcW w:w="3013" w:type="dxa"/>
            <w:shd w:val="clear" w:color="auto" w:fill="BFBFBF" w:themeFill="background1" w:themeFillShade="BF"/>
          </w:tcPr>
          <w:p w14:paraId="44D71567" w14:textId="77777777" w:rsidR="00BE0A42" w:rsidRPr="00BE0A42" w:rsidRDefault="00BE0A42" w:rsidP="00BE0A42">
            <w:pPr>
              <w:widowControl w:val="0"/>
              <w:ind w:left="0"/>
              <w:jc w:val="center"/>
              <w:rPr>
                <w:rFonts w:ascii="Verdana" w:hAnsi="Verdana"/>
                <w:szCs w:val="18"/>
              </w:rPr>
            </w:pPr>
            <w:r w:rsidRPr="00BE0A42">
              <w:rPr>
                <w:rFonts w:ascii="Verdana" w:hAnsi="Verdana"/>
                <w:b/>
                <w:szCs w:val="18"/>
              </w:rPr>
              <w:lastRenderedPageBreak/>
              <w:t>Část zadávací dokumentace</w:t>
            </w:r>
          </w:p>
        </w:tc>
        <w:tc>
          <w:tcPr>
            <w:tcW w:w="4408" w:type="dxa"/>
            <w:shd w:val="clear" w:color="auto" w:fill="BFBFBF" w:themeFill="background1" w:themeFillShade="BF"/>
          </w:tcPr>
          <w:p w14:paraId="0A5CDB46" w14:textId="77777777" w:rsidR="00BE0A42" w:rsidRPr="00BE0A42" w:rsidRDefault="00BE0A42" w:rsidP="00BE0A42">
            <w:pPr>
              <w:widowControl w:val="0"/>
              <w:ind w:left="0"/>
              <w:jc w:val="center"/>
              <w:rPr>
                <w:rFonts w:ascii="Verdana" w:hAnsi="Verdana"/>
                <w:szCs w:val="18"/>
              </w:rPr>
            </w:pPr>
            <w:r w:rsidRPr="00BE0A42">
              <w:rPr>
                <w:rFonts w:ascii="Verdana" w:hAnsi="Verdana"/>
                <w:b/>
                <w:szCs w:val="18"/>
              </w:rPr>
              <w:t>Označení osoby</w:t>
            </w:r>
          </w:p>
        </w:tc>
      </w:tr>
      <w:tr w:rsidR="00BE0A42" w:rsidRPr="00BE0A42" w14:paraId="49B38779" w14:textId="77777777" w:rsidTr="007F488B">
        <w:tc>
          <w:tcPr>
            <w:tcW w:w="3013" w:type="dxa"/>
            <w:vAlign w:val="center"/>
          </w:tcPr>
          <w:p w14:paraId="57E96590" w14:textId="77777777" w:rsidR="00BE0A42" w:rsidRPr="00004EB5" w:rsidRDefault="00BE0A42" w:rsidP="00BE0A42">
            <w:pPr>
              <w:widowControl w:val="0"/>
              <w:ind w:left="0"/>
              <w:jc w:val="both"/>
              <w:rPr>
                <w:rFonts w:ascii="Verdana" w:hAnsi="Verdana"/>
                <w:b/>
                <w:bCs/>
                <w:szCs w:val="18"/>
              </w:rPr>
            </w:pPr>
            <w:r w:rsidRPr="00004EB5">
              <w:rPr>
                <w:rFonts w:ascii="Verdana" w:hAnsi="Verdana"/>
                <w:b/>
                <w:bCs/>
                <w:szCs w:val="18"/>
              </w:rPr>
              <w:t>Studie proveditelnosti PPP Projekt Nemanice – Ševětín</w:t>
            </w:r>
          </w:p>
          <w:p w14:paraId="7BF67A8F" w14:textId="461C1E97" w:rsidR="00BE0A42" w:rsidRPr="00BE0A42" w:rsidRDefault="00BE0A42" w:rsidP="00BE0A42">
            <w:pPr>
              <w:widowControl w:val="0"/>
              <w:ind w:left="0"/>
              <w:jc w:val="both"/>
              <w:rPr>
                <w:rFonts w:ascii="Verdana" w:hAnsi="Verdana"/>
                <w:szCs w:val="18"/>
              </w:rPr>
            </w:pPr>
            <w:r>
              <w:rPr>
                <w:rFonts w:ascii="Verdana" w:hAnsi="Verdana"/>
                <w:szCs w:val="18"/>
              </w:rPr>
              <w:t>(březen 2023)</w:t>
            </w:r>
          </w:p>
        </w:tc>
        <w:tc>
          <w:tcPr>
            <w:tcW w:w="4408" w:type="dxa"/>
            <w:vAlign w:val="center"/>
          </w:tcPr>
          <w:p w14:paraId="7593747D" w14:textId="77777777" w:rsidR="00003E13" w:rsidRPr="0041259E" w:rsidRDefault="00003E13" w:rsidP="00BE0A42">
            <w:pPr>
              <w:keepNext/>
              <w:spacing w:before="0" w:after="0"/>
              <w:ind w:left="0"/>
              <w:rPr>
                <w:rFonts w:ascii="Verdana" w:eastAsia="Calibri" w:hAnsi="Verdana"/>
                <w:b/>
                <w:bCs/>
                <w:szCs w:val="18"/>
              </w:rPr>
            </w:pPr>
          </w:p>
          <w:p w14:paraId="39C8B656" w14:textId="2E8669BE" w:rsidR="00BE0A42" w:rsidRPr="0041259E" w:rsidRDefault="00BA02D5" w:rsidP="00BE0A42">
            <w:pPr>
              <w:keepNext/>
              <w:spacing w:before="0" w:after="0"/>
              <w:ind w:left="0"/>
              <w:rPr>
                <w:rFonts w:ascii="Verdana" w:eastAsia="Calibri" w:hAnsi="Verdana"/>
                <w:b/>
                <w:bCs/>
                <w:szCs w:val="18"/>
              </w:rPr>
            </w:pPr>
            <w:r w:rsidRPr="0041259E">
              <w:rPr>
                <w:rFonts w:ascii="Verdana" w:eastAsia="Calibri" w:hAnsi="Verdana"/>
                <w:b/>
                <w:bCs/>
                <w:szCs w:val="18"/>
              </w:rPr>
              <w:t>Konsorcium ČS AKCCS DT AF</w:t>
            </w:r>
          </w:p>
          <w:p w14:paraId="6407DAC8" w14:textId="77777777" w:rsidR="00BE0A42" w:rsidRPr="0041259E" w:rsidRDefault="00BE0A42" w:rsidP="00BE0A42">
            <w:pPr>
              <w:keepNext/>
              <w:spacing w:before="0" w:after="0"/>
              <w:ind w:left="0"/>
              <w:rPr>
                <w:rFonts w:ascii="Verdana" w:eastAsia="Calibri" w:hAnsi="Verdana"/>
                <w:b/>
                <w:bCs/>
                <w:szCs w:val="18"/>
              </w:rPr>
            </w:pPr>
          </w:p>
          <w:p w14:paraId="1C6106D2" w14:textId="5A9DC091" w:rsidR="00BE0A42" w:rsidRPr="0041259E" w:rsidRDefault="00F50688" w:rsidP="00BE0A42">
            <w:pPr>
              <w:keepNext/>
              <w:spacing w:before="0" w:after="0"/>
              <w:ind w:left="0"/>
              <w:rPr>
                <w:rFonts w:ascii="Verdana" w:eastAsia="Calibri" w:hAnsi="Verdana"/>
                <w:szCs w:val="18"/>
                <w:u w:val="single"/>
              </w:rPr>
            </w:pPr>
            <w:r w:rsidRPr="0041259E">
              <w:rPr>
                <w:rFonts w:ascii="Verdana" w:eastAsia="Calibri" w:hAnsi="Verdana"/>
                <w:szCs w:val="18"/>
                <w:u w:val="single"/>
              </w:rPr>
              <w:t>Člen konsorcia</w:t>
            </w:r>
            <w:r w:rsidR="00BE0A42" w:rsidRPr="0041259E">
              <w:rPr>
                <w:rFonts w:ascii="Verdana" w:eastAsia="Calibri" w:hAnsi="Verdana"/>
                <w:szCs w:val="18"/>
                <w:u w:val="single"/>
              </w:rPr>
              <w:t xml:space="preserve"> 1</w:t>
            </w:r>
            <w:r w:rsidR="00BA02D5" w:rsidRPr="0041259E">
              <w:rPr>
                <w:rFonts w:ascii="Verdana" w:eastAsia="Calibri" w:hAnsi="Verdana"/>
                <w:szCs w:val="18"/>
                <w:u w:val="single"/>
              </w:rPr>
              <w:t xml:space="preserve"> (vedoucí konsorcia)</w:t>
            </w:r>
            <w:r w:rsidR="00BE0A42" w:rsidRPr="0041259E">
              <w:rPr>
                <w:rFonts w:ascii="Verdana" w:eastAsia="Calibri" w:hAnsi="Verdana"/>
                <w:szCs w:val="18"/>
                <w:u w:val="single"/>
              </w:rPr>
              <w:t xml:space="preserve">: </w:t>
            </w:r>
          </w:p>
          <w:p w14:paraId="514F69CC" w14:textId="6EE582C7" w:rsidR="00BE0A42" w:rsidRPr="0041259E" w:rsidRDefault="00BA02D5" w:rsidP="00BE0A42">
            <w:pPr>
              <w:keepNext/>
              <w:spacing w:before="0" w:after="0"/>
              <w:ind w:left="0"/>
              <w:rPr>
                <w:rFonts w:ascii="Verdana" w:eastAsia="Calibri" w:hAnsi="Verdana"/>
                <w:b/>
                <w:bCs/>
                <w:szCs w:val="18"/>
              </w:rPr>
            </w:pPr>
            <w:r w:rsidRPr="0041259E">
              <w:rPr>
                <w:rFonts w:ascii="Verdana" w:eastAsia="Calibri" w:hAnsi="Verdana"/>
                <w:b/>
                <w:bCs/>
                <w:szCs w:val="18"/>
              </w:rPr>
              <w:t>Česká spořitelna, a.s.</w:t>
            </w:r>
          </w:p>
          <w:p w14:paraId="6E9AAA32" w14:textId="034187A1" w:rsidR="00BE0A42" w:rsidRPr="0041259E" w:rsidRDefault="00BE0A42" w:rsidP="00BE0A42">
            <w:pPr>
              <w:keepNext/>
              <w:spacing w:before="0" w:after="0"/>
              <w:ind w:left="0"/>
              <w:rPr>
                <w:rFonts w:ascii="Verdana" w:eastAsia="Calibri" w:hAnsi="Verdana"/>
                <w:szCs w:val="18"/>
              </w:rPr>
            </w:pPr>
            <w:r w:rsidRPr="0041259E">
              <w:rPr>
                <w:rFonts w:ascii="Verdana" w:eastAsia="Calibri" w:hAnsi="Verdana"/>
                <w:szCs w:val="18"/>
              </w:rPr>
              <w:t xml:space="preserve">IČO: </w:t>
            </w:r>
            <w:r w:rsidR="00BA02D5" w:rsidRPr="0041259E">
              <w:rPr>
                <w:rFonts w:ascii="Verdana" w:eastAsia="Calibri" w:hAnsi="Verdana"/>
                <w:szCs w:val="18"/>
              </w:rPr>
              <w:t>45244782</w:t>
            </w:r>
          </w:p>
          <w:p w14:paraId="3E80405E" w14:textId="18B7CB4F" w:rsidR="00BE0A42" w:rsidRPr="0041259E" w:rsidRDefault="00BE0A42" w:rsidP="00BE0A42">
            <w:pPr>
              <w:keepNext/>
              <w:spacing w:before="0" w:after="0"/>
              <w:ind w:left="0"/>
              <w:rPr>
                <w:rFonts w:ascii="Verdana" w:eastAsia="Calibri" w:hAnsi="Verdana"/>
                <w:szCs w:val="18"/>
              </w:rPr>
            </w:pPr>
            <w:r w:rsidRPr="0041259E">
              <w:rPr>
                <w:rFonts w:ascii="Verdana" w:eastAsia="Calibri" w:hAnsi="Verdana"/>
                <w:szCs w:val="18"/>
              </w:rPr>
              <w:t>se sídlem</w:t>
            </w:r>
            <w:r w:rsidR="00BA02D5" w:rsidRPr="0041259E">
              <w:rPr>
                <w:rFonts w:ascii="Verdana" w:eastAsia="Calibri" w:hAnsi="Verdana"/>
                <w:szCs w:val="18"/>
              </w:rPr>
              <w:t xml:space="preserve"> Olbrachtova 1929/62, 140 00 Praha 4</w:t>
            </w:r>
          </w:p>
          <w:p w14:paraId="593227E5" w14:textId="77777777" w:rsidR="00BE0A42" w:rsidRPr="0041259E" w:rsidRDefault="00BE0A42" w:rsidP="00BE0A42">
            <w:pPr>
              <w:keepNext/>
              <w:spacing w:before="0" w:after="0"/>
              <w:ind w:left="0"/>
              <w:rPr>
                <w:rFonts w:ascii="Verdana" w:eastAsia="Calibri" w:hAnsi="Verdana"/>
                <w:szCs w:val="18"/>
              </w:rPr>
            </w:pPr>
          </w:p>
          <w:p w14:paraId="74315C8C" w14:textId="6DEE71CF" w:rsidR="00BE0A42" w:rsidRPr="0041259E" w:rsidRDefault="00F50688" w:rsidP="00BE0A42">
            <w:pPr>
              <w:keepNext/>
              <w:spacing w:before="0" w:after="0"/>
              <w:ind w:left="0"/>
              <w:rPr>
                <w:rFonts w:ascii="Verdana" w:eastAsia="Calibri" w:hAnsi="Verdana"/>
                <w:szCs w:val="18"/>
                <w:u w:val="single"/>
              </w:rPr>
            </w:pPr>
            <w:r w:rsidRPr="0041259E">
              <w:rPr>
                <w:rFonts w:ascii="Verdana" w:eastAsia="Calibri" w:hAnsi="Verdana"/>
                <w:szCs w:val="18"/>
                <w:u w:val="single"/>
              </w:rPr>
              <w:t xml:space="preserve">Člen konsorcia </w:t>
            </w:r>
            <w:r w:rsidR="00BE0A42" w:rsidRPr="0041259E">
              <w:rPr>
                <w:rFonts w:ascii="Verdana" w:eastAsia="Calibri" w:hAnsi="Verdana"/>
                <w:szCs w:val="18"/>
                <w:u w:val="single"/>
              </w:rPr>
              <w:t xml:space="preserve">2: </w:t>
            </w:r>
          </w:p>
          <w:p w14:paraId="24B85754" w14:textId="256706AF" w:rsidR="00BE0A42" w:rsidRPr="0041259E" w:rsidRDefault="005F06B0" w:rsidP="00BE0A42">
            <w:pPr>
              <w:keepNext/>
              <w:spacing w:before="0" w:after="0"/>
              <w:ind w:left="0"/>
              <w:rPr>
                <w:rFonts w:ascii="Verdana" w:eastAsia="Calibri" w:hAnsi="Verdana"/>
                <w:b/>
                <w:bCs/>
                <w:szCs w:val="18"/>
              </w:rPr>
            </w:pPr>
            <w:r w:rsidRPr="0041259E">
              <w:rPr>
                <w:rFonts w:ascii="Verdana" w:eastAsia="Calibri" w:hAnsi="Verdana"/>
                <w:b/>
                <w:bCs/>
                <w:szCs w:val="18"/>
              </w:rPr>
              <w:t>CÍSAŘ, ČEŠKA, SMUTNÝ s.r.o., advokátní kancelář</w:t>
            </w:r>
          </w:p>
          <w:p w14:paraId="4EFAFDB8" w14:textId="5BD63100" w:rsidR="00BE0A42" w:rsidRPr="0041259E" w:rsidRDefault="00BE0A42" w:rsidP="00BE0A42">
            <w:pPr>
              <w:keepNext/>
              <w:spacing w:before="0" w:after="0"/>
              <w:ind w:left="0"/>
              <w:rPr>
                <w:rFonts w:ascii="Verdana" w:eastAsia="Calibri" w:hAnsi="Verdana"/>
                <w:szCs w:val="18"/>
              </w:rPr>
            </w:pPr>
            <w:r w:rsidRPr="0041259E">
              <w:rPr>
                <w:rFonts w:ascii="Verdana" w:eastAsia="Calibri" w:hAnsi="Verdana"/>
                <w:szCs w:val="18"/>
              </w:rPr>
              <w:t xml:space="preserve">IČO: </w:t>
            </w:r>
            <w:r w:rsidR="005F06B0" w:rsidRPr="0041259E">
              <w:rPr>
                <w:rFonts w:ascii="Verdana" w:eastAsia="Calibri" w:hAnsi="Verdana"/>
                <w:szCs w:val="18"/>
              </w:rPr>
              <w:t>48118753</w:t>
            </w:r>
          </w:p>
          <w:p w14:paraId="0DE44B45" w14:textId="684A68DF" w:rsidR="00BE0A42" w:rsidRPr="0041259E" w:rsidRDefault="00BE0A42" w:rsidP="00BE0A42">
            <w:pPr>
              <w:keepNext/>
              <w:spacing w:before="0" w:after="0"/>
              <w:ind w:left="0"/>
              <w:rPr>
                <w:rFonts w:ascii="Verdana" w:eastAsia="Calibri" w:hAnsi="Verdana"/>
                <w:szCs w:val="18"/>
              </w:rPr>
            </w:pPr>
            <w:r w:rsidRPr="0041259E">
              <w:rPr>
                <w:rFonts w:ascii="Verdana" w:eastAsia="Calibri" w:hAnsi="Verdana"/>
                <w:szCs w:val="18"/>
              </w:rPr>
              <w:t xml:space="preserve">se sídlem </w:t>
            </w:r>
            <w:r w:rsidR="005F06B0" w:rsidRPr="0041259E">
              <w:rPr>
                <w:rFonts w:ascii="Verdana" w:eastAsia="Calibri" w:hAnsi="Verdana"/>
                <w:szCs w:val="18"/>
              </w:rPr>
              <w:t>Hvězdova 1716/</w:t>
            </w:r>
            <w:proofErr w:type="gramStart"/>
            <w:r w:rsidR="005F06B0" w:rsidRPr="0041259E">
              <w:rPr>
                <w:rFonts w:ascii="Verdana" w:eastAsia="Calibri" w:hAnsi="Verdana"/>
                <w:szCs w:val="18"/>
              </w:rPr>
              <w:t>2b</w:t>
            </w:r>
            <w:proofErr w:type="gramEnd"/>
            <w:r w:rsidR="005F06B0" w:rsidRPr="0041259E">
              <w:rPr>
                <w:rFonts w:ascii="Verdana" w:eastAsia="Calibri" w:hAnsi="Verdana"/>
                <w:szCs w:val="18"/>
              </w:rPr>
              <w:t>, 140 00 Praha 4</w:t>
            </w:r>
          </w:p>
          <w:p w14:paraId="546CE8DB" w14:textId="77777777" w:rsidR="00F50688" w:rsidRPr="0041259E" w:rsidRDefault="00F50688" w:rsidP="00BE0A42">
            <w:pPr>
              <w:keepNext/>
              <w:spacing w:before="0" w:after="0"/>
              <w:ind w:left="0"/>
              <w:rPr>
                <w:rFonts w:ascii="Verdana" w:eastAsia="Calibri" w:hAnsi="Verdana"/>
                <w:szCs w:val="18"/>
              </w:rPr>
            </w:pPr>
          </w:p>
          <w:p w14:paraId="310D06A6" w14:textId="0F7D1E92" w:rsidR="00F50688" w:rsidRPr="0041259E" w:rsidRDefault="00F50688" w:rsidP="00F50688">
            <w:pPr>
              <w:keepNext/>
              <w:spacing w:before="0" w:after="0"/>
              <w:ind w:left="0"/>
              <w:rPr>
                <w:rFonts w:ascii="Verdana" w:eastAsia="Calibri" w:hAnsi="Verdana"/>
                <w:szCs w:val="18"/>
                <w:u w:val="single"/>
              </w:rPr>
            </w:pPr>
            <w:r w:rsidRPr="0041259E">
              <w:rPr>
                <w:rFonts w:ascii="Verdana" w:eastAsia="Calibri" w:hAnsi="Verdana"/>
                <w:szCs w:val="18"/>
                <w:u w:val="single"/>
              </w:rPr>
              <w:t xml:space="preserve">Člen konsorcia 3: </w:t>
            </w:r>
          </w:p>
          <w:p w14:paraId="5BC4E78B" w14:textId="7CA160A0" w:rsidR="00F50688" w:rsidRPr="0041259E" w:rsidRDefault="00D5577C" w:rsidP="00F50688">
            <w:pPr>
              <w:keepNext/>
              <w:spacing w:before="0" w:after="0"/>
              <w:ind w:left="0"/>
              <w:rPr>
                <w:rFonts w:ascii="Verdana" w:eastAsia="Calibri" w:hAnsi="Verdana"/>
                <w:b/>
                <w:bCs/>
                <w:szCs w:val="18"/>
              </w:rPr>
            </w:pPr>
            <w:r w:rsidRPr="0041259E">
              <w:rPr>
                <w:rFonts w:ascii="Verdana" w:eastAsia="Calibri" w:hAnsi="Verdana"/>
                <w:b/>
                <w:bCs/>
                <w:szCs w:val="18"/>
              </w:rPr>
              <w:t>Deloitte Advisory s.r.o.</w:t>
            </w:r>
          </w:p>
          <w:p w14:paraId="2BF3A626" w14:textId="783C29EC" w:rsidR="00F50688" w:rsidRPr="0041259E" w:rsidRDefault="00F50688" w:rsidP="00F50688">
            <w:pPr>
              <w:keepNext/>
              <w:spacing w:before="0" w:after="0"/>
              <w:ind w:left="0"/>
              <w:rPr>
                <w:rFonts w:ascii="Verdana" w:eastAsia="Calibri" w:hAnsi="Verdana"/>
                <w:szCs w:val="18"/>
              </w:rPr>
            </w:pPr>
            <w:r w:rsidRPr="0041259E">
              <w:rPr>
                <w:rFonts w:ascii="Verdana" w:eastAsia="Calibri" w:hAnsi="Verdana"/>
                <w:szCs w:val="18"/>
              </w:rPr>
              <w:t xml:space="preserve">IČO: </w:t>
            </w:r>
            <w:r w:rsidR="00D5577C" w:rsidRPr="0041259E">
              <w:rPr>
                <w:rFonts w:ascii="Verdana" w:eastAsia="Calibri" w:hAnsi="Verdana"/>
                <w:szCs w:val="18"/>
              </w:rPr>
              <w:t>27582167</w:t>
            </w:r>
          </w:p>
          <w:p w14:paraId="09ABCF91" w14:textId="5EEDE13C" w:rsidR="00F50688" w:rsidRPr="0041259E" w:rsidRDefault="00F50688" w:rsidP="00F50688">
            <w:pPr>
              <w:keepNext/>
              <w:spacing w:before="0" w:after="0"/>
              <w:ind w:left="0"/>
              <w:rPr>
                <w:rFonts w:ascii="Verdana" w:eastAsia="Calibri" w:hAnsi="Verdana"/>
                <w:szCs w:val="18"/>
              </w:rPr>
            </w:pPr>
            <w:r w:rsidRPr="0041259E">
              <w:rPr>
                <w:rFonts w:ascii="Verdana" w:eastAsia="Calibri" w:hAnsi="Verdana"/>
                <w:szCs w:val="18"/>
              </w:rPr>
              <w:t xml:space="preserve">se sídlem </w:t>
            </w:r>
            <w:r w:rsidR="00D5577C" w:rsidRPr="0041259E">
              <w:rPr>
                <w:rFonts w:ascii="Verdana" w:eastAsia="Calibri" w:hAnsi="Verdana"/>
                <w:szCs w:val="18"/>
              </w:rPr>
              <w:t>Italská 2581/67, 120 00 Praha 2</w:t>
            </w:r>
          </w:p>
          <w:p w14:paraId="1F95FCF5" w14:textId="77777777" w:rsidR="00F50688" w:rsidRPr="0041259E" w:rsidRDefault="00F50688" w:rsidP="00F50688">
            <w:pPr>
              <w:keepNext/>
              <w:spacing w:before="0" w:after="0"/>
              <w:ind w:left="0"/>
              <w:rPr>
                <w:rFonts w:ascii="Verdana" w:eastAsia="Calibri" w:hAnsi="Verdana"/>
                <w:szCs w:val="18"/>
              </w:rPr>
            </w:pPr>
          </w:p>
          <w:p w14:paraId="70E94792" w14:textId="337DE140" w:rsidR="00F50688" w:rsidRPr="0041259E" w:rsidRDefault="00F50688" w:rsidP="00F50688">
            <w:pPr>
              <w:keepNext/>
              <w:spacing w:before="0" w:after="0"/>
              <w:ind w:left="0"/>
              <w:rPr>
                <w:rFonts w:ascii="Verdana" w:eastAsia="Calibri" w:hAnsi="Verdana"/>
                <w:szCs w:val="18"/>
                <w:u w:val="single"/>
              </w:rPr>
            </w:pPr>
            <w:r w:rsidRPr="0041259E">
              <w:rPr>
                <w:rFonts w:ascii="Verdana" w:eastAsia="Calibri" w:hAnsi="Verdana"/>
                <w:szCs w:val="18"/>
                <w:u w:val="single"/>
              </w:rPr>
              <w:t xml:space="preserve">Člen konsorcia 4: </w:t>
            </w:r>
          </w:p>
          <w:p w14:paraId="406B9311" w14:textId="6FDC6499" w:rsidR="00F50688" w:rsidRPr="0041259E" w:rsidRDefault="006F7330" w:rsidP="00F50688">
            <w:pPr>
              <w:keepNext/>
              <w:spacing w:before="0" w:after="0"/>
              <w:ind w:left="0"/>
              <w:rPr>
                <w:rFonts w:ascii="Verdana" w:eastAsia="Calibri" w:hAnsi="Verdana"/>
                <w:b/>
                <w:bCs/>
                <w:szCs w:val="18"/>
              </w:rPr>
            </w:pPr>
            <w:r w:rsidRPr="0041259E">
              <w:rPr>
                <w:rFonts w:ascii="Verdana" w:eastAsia="Calibri" w:hAnsi="Verdana"/>
                <w:b/>
                <w:bCs/>
                <w:szCs w:val="18"/>
              </w:rPr>
              <w:t>AFRY CZ s.r.o.</w:t>
            </w:r>
          </w:p>
          <w:p w14:paraId="79F5C3B8" w14:textId="07709F5F" w:rsidR="00F50688" w:rsidRPr="0041259E" w:rsidRDefault="00F50688" w:rsidP="00F50688">
            <w:pPr>
              <w:keepNext/>
              <w:spacing w:before="0" w:after="0"/>
              <w:ind w:left="0"/>
              <w:rPr>
                <w:rFonts w:ascii="Verdana" w:eastAsia="Calibri" w:hAnsi="Verdana"/>
                <w:szCs w:val="18"/>
              </w:rPr>
            </w:pPr>
            <w:r w:rsidRPr="0041259E">
              <w:rPr>
                <w:rFonts w:ascii="Verdana" w:eastAsia="Calibri" w:hAnsi="Verdana"/>
                <w:szCs w:val="18"/>
              </w:rPr>
              <w:t xml:space="preserve">IČO: </w:t>
            </w:r>
            <w:r w:rsidR="006F7330" w:rsidRPr="0041259E">
              <w:rPr>
                <w:rFonts w:ascii="Verdana" w:eastAsia="Calibri" w:hAnsi="Verdana"/>
                <w:szCs w:val="18"/>
              </w:rPr>
              <w:t>45306605</w:t>
            </w:r>
          </w:p>
          <w:p w14:paraId="5D41A27E" w14:textId="641788EB" w:rsidR="00F50688" w:rsidRPr="0041259E" w:rsidRDefault="00F50688" w:rsidP="00F50688">
            <w:pPr>
              <w:keepNext/>
              <w:spacing w:before="0" w:after="0"/>
              <w:ind w:left="0"/>
              <w:rPr>
                <w:rFonts w:ascii="Verdana" w:eastAsia="Calibri" w:hAnsi="Verdana"/>
                <w:szCs w:val="18"/>
              </w:rPr>
            </w:pPr>
            <w:r w:rsidRPr="0041259E">
              <w:rPr>
                <w:rFonts w:ascii="Verdana" w:eastAsia="Calibri" w:hAnsi="Verdana"/>
                <w:szCs w:val="18"/>
              </w:rPr>
              <w:t xml:space="preserve">se sídlem </w:t>
            </w:r>
            <w:r w:rsidR="00B875D2" w:rsidRPr="0041259E">
              <w:rPr>
                <w:rFonts w:ascii="Verdana" w:eastAsia="Calibri" w:hAnsi="Verdana"/>
                <w:szCs w:val="18"/>
              </w:rPr>
              <w:t>Magistrů 1275/13, 140 00 Praha 4</w:t>
            </w:r>
          </w:p>
          <w:p w14:paraId="0A285E3A" w14:textId="77777777" w:rsidR="00BE0A42" w:rsidRPr="00BE0A42" w:rsidRDefault="00BE0A42" w:rsidP="00BE0A42">
            <w:pPr>
              <w:keepNext/>
              <w:spacing w:before="0" w:after="0"/>
              <w:ind w:left="0"/>
              <w:rPr>
                <w:rFonts w:ascii="Verdana" w:eastAsia="Calibri" w:hAnsi="Verdana"/>
                <w:szCs w:val="18"/>
              </w:rPr>
            </w:pPr>
          </w:p>
        </w:tc>
      </w:tr>
    </w:tbl>
    <w:p w14:paraId="48ABF0F7" w14:textId="740F5517" w:rsidR="001F3E28" w:rsidRPr="007F488B" w:rsidRDefault="001F3E28" w:rsidP="00646BC3">
      <w:pPr>
        <w:pStyle w:val="Nadpis2"/>
        <w:rPr>
          <w:u w:val="single"/>
        </w:rPr>
      </w:pPr>
      <w:r w:rsidRPr="007F488B">
        <w:rPr>
          <w:u w:val="single"/>
        </w:rPr>
        <w:t>Předběžné tržní konzultace</w:t>
      </w:r>
    </w:p>
    <w:p w14:paraId="242D0CD1" w14:textId="5C809583" w:rsidR="001F3E28" w:rsidRPr="001F3E28" w:rsidRDefault="001F3E28" w:rsidP="00CF7C4A">
      <w:pPr>
        <w:ind w:left="1276"/>
        <w:jc w:val="both"/>
        <w:rPr>
          <w:szCs w:val="18"/>
        </w:rPr>
      </w:pPr>
      <w:r w:rsidRPr="001F3E28">
        <w:rPr>
          <w:szCs w:val="18"/>
        </w:rPr>
        <w:t>Zadavatel vedl předběžné tržní konzultace (dále jen „</w:t>
      </w:r>
      <w:r w:rsidRPr="001F3E28">
        <w:rPr>
          <w:b/>
          <w:bCs/>
          <w:szCs w:val="18"/>
        </w:rPr>
        <w:t>PTK</w:t>
      </w:r>
      <w:r w:rsidRPr="001F3E28">
        <w:rPr>
          <w:szCs w:val="18"/>
        </w:rPr>
        <w:t>“) k zadání veřejné zakázky s názvem „</w:t>
      </w:r>
      <w:r w:rsidR="00725912" w:rsidRPr="00725912">
        <w:rPr>
          <w:szCs w:val="18"/>
        </w:rPr>
        <w:t>Poskytování služeb právního, finančního, ekonomického a technického poradenství před a v průběhu zadávacího řízení na výběr koncesionáře pro projekt PPP Nemanice – Ševětín</w:t>
      </w:r>
      <w:r w:rsidRPr="001F3E28">
        <w:rPr>
          <w:szCs w:val="18"/>
        </w:rPr>
        <w:t>“, a to za účelem získání informací ze strany dodavatelů k nastavení optimálních zadávacích podmínek pro zadávací říz</w:t>
      </w:r>
      <w:r w:rsidR="00AA1481">
        <w:rPr>
          <w:szCs w:val="18"/>
        </w:rPr>
        <w:t>e</w:t>
      </w:r>
      <w:r w:rsidRPr="001F3E28">
        <w:rPr>
          <w:szCs w:val="18"/>
        </w:rPr>
        <w:t>ní na veřejnou zakázku a za účelem zjištění zájmu o účast na veřejné zakázce.</w:t>
      </w:r>
    </w:p>
    <w:p w14:paraId="6F51763B" w14:textId="7B76452B" w:rsidR="001F3E28" w:rsidRPr="001F3E28" w:rsidRDefault="001F3E28" w:rsidP="00CF7C4A">
      <w:pPr>
        <w:ind w:left="1276"/>
        <w:jc w:val="both"/>
        <w:rPr>
          <w:szCs w:val="18"/>
        </w:rPr>
      </w:pPr>
      <w:r w:rsidRPr="001F3E28">
        <w:rPr>
          <w:szCs w:val="18"/>
        </w:rPr>
        <w:t>Výzvu k účasti na předběžných tržních konzultací</w:t>
      </w:r>
      <w:r w:rsidR="00E52A80">
        <w:rPr>
          <w:szCs w:val="18"/>
        </w:rPr>
        <w:t>ch</w:t>
      </w:r>
      <w:r w:rsidRPr="001F3E28">
        <w:rPr>
          <w:szCs w:val="18"/>
        </w:rPr>
        <w:t xml:space="preserve"> zadavatel uveřejnil na profilu zadavatele. Předběžné tržní konzultace se mohli účastnit všichni potenciální dodavatelé. Předběžné tržní konzultace probíhaly písemně.</w:t>
      </w:r>
    </w:p>
    <w:p w14:paraId="23319A24" w14:textId="77777777" w:rsidR="001F3E28" w:rsidRPr="001F3E28" w:rsidRDefault="001F3E28" w:rsidP="00CF7C4A">
      <w:pPr>
        <w:ind w:left="1276"/>
        <w:jc w:val="both"/>
        <w:rPr>
          <w:szCs w:val="18"/>
        </w:rPr>
      </w:pPr>
      <w:r w:rsidRPr="001F3E28">
        <w:rPr>
          <w:szCs w:val="18"/>
        </w:rPr>
        <w:t>Předběžné tržní konzultace se zúčastnili následující dodavatelé:</w:t>
      </w:r>
    </w:p>
    <w:tbl>
      <w:tblPr>
        <w:tblStyle w:val="Mkatabulky11"/>
        <w:tblW w:w="7371" w:type="dxa"/>
        <w:tblInd w:w="1271" w:type="dxa"/>
        <w:tblLook w:val="04A0" w:firstRow="1" w:lastRow="0" w:firstColumn="1" w:lastColumn="0" w:noHBand="0" w:noVBand="1"/>
      </w:tblPr>
      <w:tblGrid>
        <w:gridCol w:w="2811"/>
        <w:gridCol w:w="1903"/>
        <w:gridCol w:w="1247"/>
        <w:gridCol w:w="1410"/>
      </w:tblGrid>
      <w:tr w:rsidR="007E5FBB" w:rsidRPr="007E5FBB" w14:paraId="62C5CE7B" w14:textId="77777777" w:rsidTr="00CF7C4A">
        <w:tc>
          <w:tcPr>
            <w:tcW w:w="2669" w:type="dxa"/>
            <w:shd w:val="clear" w:color="auto" w:fill="BFBFBF" w:themeFill="background1" w:themeFillShade="BF"/>
            <w:vAlign w:val="center"/>
          </w:tcPr>
          <w:p w14:paraId="0167D835" w14:textId="77777777" w:rsidR="007E5FBB" w:rsidRPr="007E5FBB" w:rsidRDefault="007E5FBB" w:rsidP="007E5FBB">
            <w:pPr>
              <w:spacing w:before="0" w:after="242" w:line="262" w:lineRule="auto"/>
              <w:ind w:left="10" w:right="73" w:hanging="10"/>
              <w:rPr>
                <w:rFonts w:eastAsia="Verdana" w:cs="Verdana"/>
                <w:b/>
                <w:color w:val="000000"/>
                <w:szCs w:val="18"/>
              </w:rPr>
            </w:pPr>
            <w:r w:rsidRPr="007E5FBB">
              <w:rPr>
                <w:rFonts w:eastAsia="Verdana" w:cs="Verdana"/>
                <w:b/>
                <w:color w:val="000000"/>
                <w:szCs w:val="18"/>
              </w:rPr>
              <w:t xml:space="preserve">Název společnosti  </w:t>
            </w:r>
          </w:p>
        </w:tc>
        <w:tc>
          <w:tcPr>
            <w:tcW w:w="2009" w:type="dxa"/>
            <w:shd w:val="clear" w:color="auto" w:fill="BFBFBF" w:themeFill="background1" w:themeFillShade="BF"/>
            <w:vAlign w:val="center"/>
          </w:tcPr>
          <w:p w14:paraId="07DE1670" w14:textId="77777777" w:rsidR="007E5FBB" w:rsidRPr="007E5FBB" w:rsidRDefault="007E5FBB" w:rsidP="007E5FBB">
            <w:pPr>
              <w:spacing w:before="0" w:after="242" w:line="262" w:lineRule="auto"/>
              <w:ind w:left="0" w:right="455"/>
              <w:rPr>
                <w:rFonts w:eastAsia="Verdana" w:cs="Verdana"/>
                <w:b/>
                <w:color w:val="000000"/>
                <w:szCs w:val="18"/>
              </w:rPr>
            </w:pPr>
            <w:r w:rsidRPr="007E5FBB">
              <w:rPr>
                <w:rFonts w:eastAsia="Verdana" w:cs="Verdana"/>
                <w:b/>
                <w:color w:val="000000"/>
                <w:szCs w:val="18"/>
              </w:rPr>
              <w:t xml:space="preserve">Adresa  </w:t>
            </w:r>
          </w:p>
        </w:tc>
        <w:tc>
          <w:tcPr>
            <w:tcW w:w="1276" w:type="dxa"/>
            <w:shd w:val="clear" w:color="auto" w:fill="BFBFBF" w:themeFill="background1" w:themeFillShade="BF"/>
            <w:vAlign w:val="center"/>
          </w:tcPr>
          <w:p w14:paraId="6E0F8E78" w14:textId="57F0FCC4" w:rsidR="007E5FBB" w:rsidRPr="007E5FBB" w:rsidRDefault="007E5FBB" w:rsidP="007E5FBB">
            <w:pPr>
              <w:spacing w:before="0" w:after="242" w:line="262" w:lineRule="auto"/>
              <w:ind w:left="10" w:right="455" w:hanging="10"/>
              <w:rPr>
                <w:rFonts w:eastAsia="Verdana" w:cs="Verdana"/>
                <w:b/>
                <w:color w:val="000000"/>
                <w:szCs w:val="18"/>
              </w:rPr>
            </w:pPr>
            <w:r w:rsidRPr="007E5FBB">
              <w:rPr>
                <w:rFonts w:eastAsia="Verdana" w:cs="Verdana"/>
                <w:b/>
                <w:color w:val="000000"/>
                <w:szCs w:val="18"/>
              </w:rPr>
              <w:t>IČ</w:t>
            </w:r>
            <w:r>
              <w:rPr>
                <w:rFonts w:eastAsia="Verdana" w:cs="Verdana"/>
                <w:b/>
                <w:color w:val="000000"/>
                <w:szCs w:val="18"/>
              </w:rPr>
              <w:t>O</w:t>
            </w:r>
          </w:p>
        </w:tc>
        <w:tc>
          <w:tcPr>
            <w:tcW w:w="1417" w:type="dxa"/>
            <w:shd w:val="clear" w:color="auto" w:fill="BFBFBF" w:themeFill="background1" w:themeFillShade="BF"/>
            <w:vAlign w:val="center"/>
          </w:tcPr>
          <w:p w14:paraId="65D97762" w14:textId="77777777" w:rsidR="007E5FBB" w:rsidRPr="007E5FBB" w:rsidRDefault="007E5FBB" w:rsidP="007E5FBB">
            <w:pPr>
              <w:spacing w:before="0" w:after="242" w:line="262" w:lineRule="auto"/>
              <w:ind w:left="10" w:right="455" w:hanging="10"/>
              <w:rPr>
                <w:rFonts w:eastAsia="Verdana" w:cs="Verdana"/>
                <w:b/>
                <w:color w:val="000000"/>
                <w:szCs w:val="18"/>
              </w:rPr>
            </w:pPr>
            <w:r w:rsidRPr="007E5FBB">
              <w:rPr>
                <w:rFonts w:eastAsia="Verdana" w:cs="Verdana"/>
                <w:b/>
                <w:color w:val="000000"/>
                <w:szCs w:val="18"/>
              </w:rPr>
              <w:t xml:space="preserve">Reakce ze dne </w:t>
            </w:r>
          </w:p>
        </w:tc>
      </w:tr>
      <w:tr w:rsidR="007E5FBB" w:rsidRPr="007E5FBB" w14:paraId="260AD315" w14:textId="77777777" w:rsidTr="00CF7C4A">
        <w:tc>
          <w:tcPr>
            <w:tcW w:w="2669" w:type="dxa"/>
            <w:vAlign w:val="center"/>
          </w:tcPr>
          <w:p w14:paraId="598F2364" w14:textId="77777777" w:rsidR="007E5FBB" w:rsidRPr="007E5FBB" w:rsidRDefault="007E5FBB" w:rsidP="007E5FBB">
            <w:pPr>
              <w:spacing w:before="0" w:after="240" w:line="261" w:lineRule="auto"/>
              <w:ind w:left="0" w:right="73"/>
              <w:rPr>
                <w:rFonts w:eastAsia="Verdana" w:cs="Verdana"/>
                <w:b/>
                <w:color w:val="000000"/>
                <w:szCs w:val="18"/>
              </w:rPr>
            </w:pPr>
            <w:r w:rsidRPr="007E5FBB">
              <w:rPr>
                <w:rFonts w:eastAsia="Verdana" w:cs="Verdana"/>
                <w:b/>
                <w:color w:val="000000"/>
                <w:szCs w:val="18"/>
              </w:rPr>
              <w:t>Metrostav TBR a.s.</w:t>
            </w:r>
          </w:p>
        </w:tc>
        <w:tc>
          <w:tcPr>
            <w:tcW w:w="2009" w:type="dxa"/>
            <w:vAlign w:val="center"/>
          </w:tcPr>
          <w:p w14:paraId="634DA3F2"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Koželužská 2450/4, Libeň, 180 00 Praha 8</w:t>
            </w:r>
          </w:p>
        </w:tc>
        <w:tc>
          <w:tcPr>
            <w:tcW w:w="1276" w:type="dxa"/>
            <w:vAlign w:val="center"/>
          </w:tcPr>
          <w:p w14:paraId="349754FB"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09884572</w:t>
            </w:r>
          </w:p>
        </w:tc>
        <w:tc>
          <w:tcPr>
            <w:tcW w:w="1417" w:type="dxa"/>
            <w:vAlign w:val="center"/>
          </w:tcPr>
          <w:p w14:paraId="2CA3E166"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10. 8. 2023</w:t>
            </w:r>
          </w:p>
        </w:tc>
      </w:tr>
      <w:tr w:rsidR="007E5FBB" w:rsidRPr="007E5FBB" w14:paraId="4FF3B457" w14:textId="77777777" w:rsidTr="00CF7C4A">
        <w:tc>
          <w:tcPr>
            <w:tcW w:w="2669" w:type="dxa"/>
            <w:vAlign w:val="center"/>
          </w:tcPr>
          <w:p w14:paraId="177CAD60" w14:textId="685FEF91" w:rsidR="007E5FBB" w:rsidRPr="007E5FBB" w:rsidRDefault="007E5FBB" w:rsidP="007E5FBB">
            <w:pPr>
              <w:spacing w:before="0" w:after="240" w:line="261" w:lineRule="auto"/>
              <w:ind w:left="0" w:right="73"/>
              <w:rPr>
                <w:rFonts w:eastAsia="Verdana" w:cs="Verdana"/>
                <w:b/>
                <w:color w:val="000000"/>
                <w:szCs w:val="18"/>
              </w:rPr>
            </w:pPr>
            <w:r w:rsidRPr="007E5FBB">
              <w:rPr>
                <w:rFonts w:eastAsia="Verdana" w:cs="Verdana"/>
                <w:b/>
                <w:color w:val="000000"/>
                <w:szCs w:val="18"/>
              </w:rPr>
              <w:t>SUDOP PRAHA a.s.</w:t>
            </w:r>
          </w:p>
        </w:tc>
        <w:tc>
          <w:tcPr>
            <w:tcW w:w="2009" w:type="dxa"/>
            <w:vAlign w:val="center"/>
          </w:tcPr>
          <w:p w14:paraId="2513F067" w14:textId="77777777" w:rsidR="007E5FBB" w:rsidRPr="007E5FBB" w:rsidRDefault="007E5FBB" w:rsidP="007E5FBB">
            <w:pPr>
              <w:spacing w:before="0" w:after="0" w:line="261" w:lineRule="auto"/>
              <w:ind w:left="0"/>
              <w:rPr>
                <w:rFonts w:eastAsia="Verdana" w:cs="Verdana"/>
                <w:color w:val="000000"/>
                <w:szCs w:val="18"/>
              </w:rPr>
            </w:pPr>
            <w:r w:rsidRPr="007E5FBB">
              <w:rPr>
                <w:rFonts w:eastAsia="Verdana" w:cs="Verdana"/>
                <w:color w:val="000000"/>
                <w:szCs w:val="18"/>
              </w:rPr>
              <w:t>Olšanská 2643/</w:t>
            </w:r>
            <w:proofErr w:type="gramStart"/>
            <w:r w:rsidRPr="007E5FBB">
              <w:rPr>
                <w:rFonts w:eastAsia="Verdana" w:cs="Verdana"/>
                <w:color w:val="000000"/>
                <w:szCs w:val="18"/>
              </w:rPr>
              <w:t>1a</w:t>
            </w:r>
            <w:proofErr w:type="gramEnd"/>
          </w:p>
          <w:p w14:paraId="08FA5F8F"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lastRenderedPageBreak/>
              <w:t>130 80 Praha 3</w:t>
            </w:r>
          </w:p>
        </w:tc>
        <w:tc>
          <w:tcPr>
            <w:tcW w:w="1276" w:type="dxa"/>
            <w:vAlign w:val="center"/>
          </w:tcPr>
          <w:p w14:paraId="0830B703"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lastRenderedPageBreak/>
              <w:t>25793349</w:t>
            </w:r>
          </w:p>
        </w:tc>
        <w:tc>
          <w:tcPr>
            <w:tcW w:w="1417" w:type="dxa"/>
            <w:vAlign w:val="center"/>
          </w:tcPr>
          <w:p w14:paraId="4FE99B32"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11. 8. 2023</w:t>
            </w:r>
          </w:p>
        </w:tc>
      </w:tr>
      <w:tr w:rsidR="007E5FBB" w:rsidRPr="007E5FBB" w14:paraId="1641C2D7" w14:textId="77777777" w:rsidTr="00CF7C4A">
        <w:tc>
          <w:tcPr>
            <w:tcW w:w="2669" w:type="dxa"/>
            <w:vAlign w:val="center"/>
          </w:tcPr>
          <w:p w14:paraId="535A4C04" w14:textId="77777777" w:rsidR="007E5FBB" w:rsidRPr="007E5FBB" w:rsidRDefault="007E5FBB" w:rsidP="007E5FBB">
            <w:pPr>
              <w:autoSpaceDE w:val="0"/>
              <w:autoSpaceDN w:val="0"/>
              <w:spacing w:before="0" w:after="240" w:line="262" w:lineRule="auto"/>
              <w:ind w:left="10" w:right="73" w:hanging="10"/>
              <w:rPr>
                <w:rFonts w:eastAsia="Verdana" w:cs="Verdana"/>
                <w:b/>
                <w:color w:val="000000"/>
                <w:szCs w:val="18"/>
              </w:rPr>
            </w:pPr>
            <w:proofErr w:type="spellStart"/>
            <w:r w:rsidRPr="007E5FBB">
              <w:rPr>
                <w:rFonts w:eastAsia="Verdana" w:cs="Verdana"/>
                <w:b/>
                <w:color w:val="000000"/>
                <w:szCs w:val="18"/>
              </w:rPr>
              <w:t>White</w:t>
            </w:r>
            <w:proofErr w:type="spellEnd"/>
            <w:r w:rsidRPr="007E5FBB">
              <w:rPr>
                <w:rFonts w:eastAsia="Verdana" w:cs="Verdana"/>
                <w:b/>
                <w:color w:val="000000"/>
                <w:szCs w:val="18"/>
              </w:rPr>
              <w:t xml:space="preserve"> &amp; Case, s.r.o., advokátní kancelář</w:t>
            </w:r>
          </w:p>
        </w:tc>
        <w:tc>
          <w:tcPr>
            <w:tcW w:w="2009" w:type="dxa"/>
            <w:vAlign w:val="center"/>
          </w:tcPr>
          <w:p w14:paraId="4A230A32" w14:textId="77777777" w:rsidR="007E5FBB" w:rsidRPr="007E5FBB" w:rsidRDefault="007E5FBB" w:rsidP="007E5FBB">
            <w:pPr>
              <w:autoSpaceDE w:val="0"/>
              <w:autoSpaceDN w:val="0"/>
              <w:spacing w:before="0" w:after="240" w:line="262" w:lineRule="auto"/>
              <w:ind w:left="10" w:right="455" w:hanging="10"/>
              <w:rPr>
                <w:rFonts w:eastAsia="Verdana" w:cs="Verdana"/>
                <w:color w:val="000000"/>
                <w:szCs w:val="18"/>
              </w:rPr>
            </w:pPr>
            <w:r w:rsidRPr="007E5FBB">
              <w:rPr>
                <w:rFonts w:eastAsia="Verdana" w:cs="Verdana"/>
                <w:color w:val="000000"/>
                <w:szCs w:val="18"/>
              </w:rPr>
              <w:t>Na Příkopě 854/14</w:t>
            </w:r>
          </w:p>
          <w:p w14:paraId="3D4B0AB6" w14:textId="77777777" w:rsidR="007E5FBB" w:rsidRPr="007E5FBB" w:rsidRDefault="007E5FBB" w:rsidP="007E5FBB">
            <w:pPr>
              <w:autoSpaceDE w:val="0"/>
              <w:autoSpaceDN w:val="0"/>
              <w:spacing w:before="0" w:after="240" w:line="262" w:lineRule="auto"/>
              <w:ind w:left="10" w:right="455" w:hanging="10"/>
              <w:rPr>
                <w:rFonts w:eastAsia="Verdana" w:cs="Verdana"/>
                <w:color w:val="000000"/>
                <w:szCs w:val="18"/>
              </w:rPr>
            </w:pPr>
            <w:r w:rsidRPr="007E5FBB">
              <w:rPr>
                <w:rFonts w:eastAsia="Verdana" w:cs="Verdana"/>
                <w:color w:val="000000"/>
                <w:szCs w:val="18"/>
              </w:rPr>
              <w:t>110 00 Praha 1</w:t>
            </w:r>
          </w:p>
        </w:tc>
        <w:tc>
          <w:tcPr>
            <w:tcW w:w="1276" w:type="dxa"/>
            <w:vAlign w:val="center"/>
          </w:tcPr>
          <w:p w14:paraId="02E6CD33"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07744536</w:t>
            </w:r>
          </w:p>
        </w:tc>
        <w:tc>
          <w:tcPr>
            <w:tcW w:w="1417" w:type="dxa"/>
            <w:vAlign w:val="center"/>
          </w:tcPr>
          <w:p w14:paraId="6B5AD246"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11. 8. 2023</w:t>
            </w:r>
          </w:p>
        </w:tc>
      </w:tr>
      <w:tr w:rsidR="007E5FBB" w:rsidRPr="007E5FBB" w14:paraId="6662A4E0" w14:textId="77777777" w:rsidTr="00CF7C4A">
        <w:tc>
          <w:tcPr>
            <w:tcW w:w="2669" w:type="dxa"/>
            <w:vAlign w:val="center"/>
          </w:tcPr>
          <w:p w14:paraId="73DC82CD" w14:textId="77777777" w:rsidR="007E5FBB" w:rsidRPr="007E5FBB" w:rsidRDefault="007E5FBB" w:rsidP="007E5FBB">
            <w:pPr>
              <w:autoSpaceDE w:val="0"/>
              <w:autoSpaceDN w:val="0"/>
              <w:spacing w:before="0" w:after="240" w:line="262" w:lineRule="auto"/>
              <w:ind w:left="10" w:right="73" w:hanging="10"/>
              <w:rPr>
                <w:rFonts w:eastAsia="Verdana" w:cs="Verdana"/>
                <w:b/>
                <w:color w:val="000000"/>
                <w:szCs w:val="18"/>
              </w:rPr>
            </w:pPr>
            <w:r w:rsidRPr="007E5FBB">
              <w:rPr>
                <w:rFonts w:eastAsia="Verdana" w:cs="Verdana"/>
                <w:b/>
                <w:color w:val="000000"/>
                <w:szCs w:val="18"/>
              </w:rPr>
              <w:t>DOPRAVOPROJEKT, a.s.</w:t>
            </w:r>
          </w:p>
        </w:tc>
        <w:tc>
          <w:tcPr>
            <w:tcW w:w="2009" w:type="dxa"/>
            <w:vAlign w:val="center"/>
          </w:tcPr>
          <w:p w14:paraId="6D92E45C" w14:textId="77777777" w:rsidR="007E5FBB" w:rsidRPr="007E5FBB" w:rsidRDefault="007E5FBB" w:rsidP="007E5FBB">
            <w:pPr>
              <w:autoSpaceDE w:val="0"/>
              <w:autoSpaceDN w:val="0"/>
              <w:spacing w:before="0" w:after="0" w:line="262" w:lineRule="auto"/>
              <w:ind w:left="10" w:right="455" w:hanging="10"/>
              <w:rPr>
                <w:rFonts w:eastAsia="Verdana" w:cs="Verdana"/>
                <w:color w:val="000000"/>
                <w:szCs w:val="18"/>
              </w:rPr>
            </w:pPr>
            <w:proofErr w:type="spellStart"/>
            <w:r w:rsidRPr="007E5FBB">
              <w:rPr>
                <w:rFonts w:eastAsia="Verdana" w:cs="Verdana"/>
                <w:color w:val="000000"/>
                <w:szCs w:val="18"/>
              </w:rPr>
              <w:t>Kominárska</w:t>
            </w:r>
            <w:proofErr w:type="spellEnd"/>
            <w:r w:rsidRPr="007E5FBB">
              <w:rPr>
                <w:rFonts w:eastAsia="Verdana" w:cs="Verdana"/>
                <w:color w:val="000000"/>
                <w:szCs w:val="18"/>
              </w:rPr>
              <w:t xml:space="preserve"> 141/2,4</w:t>
            </w:r>
          </w:p>
          <w:p w14:paraId="374FA139" w14:textId="77777777" w:rsidR="007E5FBB" w:rsidRPr="007E5FBB" w:rsidRDefault="007E5FBB" w:rsidP="007E5FBB">
            <w:pPr>
              <w:autoSpaceDE w:val="0"/>
              <w:autoSpaceDN w:val="0"/>
              <w:spacing w:before="0" w:after="240" w:line="262" w:lineRule="auto"/>
              <w:ind w:left="10" w:right="455" w:hanging="10"/>
              <w:rPr>
                <w:rFonts w:eastAsia="Verdana" w:cs="Verdana"/>
                <w:color w:val="000000"/>
                <w:szCs w:val="18"/>
              </w:rPr>
            </w:pPr>
            <w:r w:rsidRPr="007E5FBB">
              <w:rPr>
                <w:rFonts w:eastAsia="Verdana" w:cs="Verdana"/>
                <w:color w:val="000000"/>
                <w:szCs w:val="18"/>
              </w:rPr>
              <w:t>832 03 Bratislava Slovenská republika</w:t>
            </w:r>
          </w:p>
        </w:tc>
        <w:tc>
          <w:tcPr>
            <w:tcW w:w="1276" w:type="dxa"/>
            <w:vAlign w:val="center"/>
          </w:tcPr>
          <w:p w14:paraId="04E8CEAB"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31322000</w:t>
            </w:r>
          </w:p>
          <w:p w14:paraId="724D2A1E"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 xml:space="preserve">(Obchodný </w:t>
            </w:r>
            <w:proofErr w:type="spellStart"/>
            <w:r w:rsidRPr="007E5FBB">
              <w:rPr>
                <w:rFonts w:eastAsia="Verdana" w:cs="Verdana"/>
                <w:color w:val="000000"/>
                <w:szCs w:val="18"/>
              </w:rPr>
              <w:t>register</w:t>
            </w:r>
            <w:proofErr w:type="spellEnd"/>
            <w:r w:rsidRPr="007E5FBB">
              <w:rPr>
                <w:rFonts w:eastAsia="Verdana" w:cs="Verdana"/>
                <w:color w:val="000000"/>
                <w:szCs w:val="18"/>
              </w:rPr>
              <w:t xml:space="preserve"> SR)</w:t>
            </w:r>
          </w:p>
        </w:tc>
        <w:tc>
          <w:tcPr>
            <w:tcW w:w="1417" w:type="dxa"/>
            <w:vAlign w:val="center"/>
          </w:tcPr>
          <w:p w14:paraId="1555C35A" w14:textId="77777777" w:rsidR="007E5FBB" w:rsidRPr="007E5FBB" w:rsidRDefault="007E5FBB" w:rsidP="007E5FBB">
            <w:pPr>
              <w:spacing w:before="0" w:after="240" w:line="264" w:lineRule="auto"/>
              <w:ind w:left="0"/>
              <w:rPr>
                <w:rFonts w:eastAsia="Verdana" w:cs="Times New Roman"/>
                <w:szCs w:val="18"/>
              </w:rPr>
            </w:pPr>
            <w:r w:rsidRPr="007E5FBB">
              <w:rPr>
                <w:rFonts w:eastAsia="Verdana" w:cs="Times New Roman"/>
                <w:szCs w:val="18"/>
              </w:rPr>
              <w:t>11. 8. 2023</w:t>
            </w:r>
          </w:p>
          <w:p w14:paraId="16341051" w14:textId="77777777" w:rsidR="007E5FBB" w:rsidRPr="007E5FBB" w:rsidRDefault="007E5FBB" w:rsidP="007E5FBB">
            <w:pPr>
              <w:spacing w:before="0" w:after="240" w:line="264" w:lineRule="auto"/>
              <w:ind w:left="0"/>
              <w:rPr>
                <w:rFonts w:eastAsia="Verdana" w:cs="Times New Roman"/>
                <w:szCs w:val="18"/>
              </w:rPr>
            </w:pPr>
            <w:r w:rsidRPr="007E5FBB">
              <w:rPr>
                <w:rFonts w:eastAsia="Verdana" w:cs="Times New Roman"/>
                <w:szCs w:val="18"/>
              </w:rPr>
              <w:t>bez přílohy č. 3</w:t>
            </w:r>
          </w:p>
        </w:tc>
      </w:tr>
      <w:tr w:rsidR="007E5FBB" w:rsidRPr="007E5FBB" w14:paraId="6B0AC21C" w14:textId="77777777" w:rsidTr="00CF7C4A">
        <w:tc>
          <w:tcPr>
            <w:tcW w:w="2669" w:type="dxa"/>
            <w:vAlign w:val="center"/>
          </w:tcPr>
          <w:p w14:paraId="715C2114" w14:textId="77777777" w:rsidR="007E5FBB" w:rsidRPr="007E5FBB" w:rsidRDefault="007E5FBB" w:rsidP="007E5FBB">
            <w:pPr>
              <w:autoSpaceDE w:val="0"/>
              <w:autoSpaceDN w:val="0"/>
              <w:spacing w:before="0" w:after="240" w:line="262" w:lineRule="auto"/>
              <w:ind w:left="10" w:right="73" w:hanging="10"/>
              <w:rPr>
                <w:rFonts w:eastAsia="Verdana" w:cs="Verdana"/>
                <w:b/>
                <w:color w:val="000000"/>
                <w:szCs w:val="18"/>
              </w:rPr>
            </w:pPr>
            <w:proofErr w:type="spellStart"/>
            <w:r w:rsidRPr="007E5FBB">
              <w:rPr>
                <w:rFonts w:eastAsia="Verdana" w:cs="Verdana"/>
                <w:b/>
                <w:color w:val="000000"/>
                <w:szCs w:val="18"/>
              </w:rPr>
              <w:t>Chrenek</w:t>
            </w:r>
            <w:proofErr w:type="spellEnd"/>
            <w:r w:rsidRPr="007E5FBB">
              <w:rPr>
                <w:rFonts w:eastAsia="Verdana" w:cs="Verdana"/>
                <w:b/>
                <w:color w:val="000000"/>
                <w:szCs w:val="18"/>
              </w:rPr>
              <w:t>, Toman, Kotrba advokátní kancelář spol. s r. o.</w:t>
            </w:r>
          </w:p>
        </w:tc>
        <w:tc>
          <w:tcPr>
            <w:tcW w:w="2009" w:type="dxa"/>
            <w:vAlign w:val="center"/>
          </w:tcPr>
          <w:p w14:paraId="766DF832" w14:textId="77777777" w:rsidR="007E5FBB" w:rsidRPr="007E5FBB" w:rsidRDefault="007E5FBB" w:rsidP="007E5FBB">
            <w:pPr>
              <w:autoSpaceDE w:val="0"/>
              <w:autoSpaceDN w:val="0"/>
              <w:spacing w:before="0" w:after="240" w:line="262" w:lineRule="auto"/>
              <w:ind w:left="10" w:right="455" w:hanging="10"/>
              <w:rPr>
                <w:rFonts w:eastAsia="Verdana" w:cs="Verdana"/>
                <w:color w:val="000000"/>
                <w:szCs w:val="18"/>
              </w:rPr>
            </w:pPr>
            <w:proofErr w:type="spellStart"/>
            <w:r w:rsidRPr="007E5FBB">
              <w:rPr>
                <w:rFonts w:eastAsia="Verdana" w:cs="Verdana"/>
                <w:color w:val="000000"/>
                <w:szCs w:val="18"/>
              </w:rPr>
              <w:t>Těšnov</w:t>
            </w:r>
            <w:proofErr w:type="spellEnd"/>
            <w:r w:rsidRPr="007E5FBB">
              <w:rPr>
                <w:rFonts w:eastAsia="Verdana" w:cs="Verdana"/>
                <w:color w:val="000000"/>
                <w:szCs w:val="18"/>
              </w:rPr>
              <w:t xml:space="preserve"> 1/1059, 110 00 Praha 1</w:t>
            </w:r>
          </w:p>
        </w:tc>
        <w:tc>
          <w:tcPr>
            <w:tcW w:w="1276" w:type="dxa"/>
            <w:vAlign w:val="center"/>
          </w:tcPr>
          <w:p w14:paraId="73D780C9"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28505913</w:t>
            </w:r>
          </w:p>
        </w:tc>
        <w:tc>
          <w:tcPr>
            <w:tcW w:w="1417" w:type="dxa"/>
            <w:vAlign w:val="center"/>
          </w:tcPr>
          <w:p w14:paraId="2D748B24" w14:textId="77777777" w:rsidR="007E5FBB" w:rsidRPr="007E5FBB" w:rsidRDefault="007E5FBB" w:rsidP="007E5FBB">
            <w:pPr>
              <w:spacing w:before="0" w:after="240" w:line="264" w:lineRule="auto"/>
              <w:ind w:left="0"/>
              <w:rPr>
                <w:rFonts w:eastAsia="Verdana" w:cs="Times New Roman"/>
                <w:szCs w:val="18"/>
              </w:rPr>
            </w:pPr>
            <w:r w:rsidRPr="007E5FBB">
              <w:rPr>
                <w:rFonts w:eastAsia="Verdana" w:cs="Times New Roman"/>
                <w:szCs w:val="18"/>
              </w:rPr>
              <w:t>22. 8. 2023</w:t>
            </w:r>
          </w:p>
        </w:tc>
      </w:tr>
      <w:tr w:rsidR="007E5FBB" w:rsidRPr="007E5FBB" w14:paraId="77779EBA" w14:textId="77777777" w:rsidTr="00CF7C4A">
        <w:tc>
          <w:tcPr>
            <w:tcW w:w="2669" w:type="dxa"/>
            <w:vAlign w:val="center"/>
          </w:tcPr>
          <w:p w14:paraId="16C5AACE" w14:textId="77777777" w:rsidR="007E5FBB" w:rsidRPr="007E5FBB" w:rsidRDefault="007E5FBB" w:rsidP="007E5FBB">
            <w:pPr>
              <w:autoSpaceDE w:val="0"/>
              <w:autoSpaceDN w:val="0"/>
              <w:spacing w:before="0" w:after="240" w:line="262" w:lineRule="auto"/>
              <w:ind w:left="10" w:right="73" w:hanging="10"/>
              <w:rPr>
                <w:rFonts w:eastAsia="Verdana" w:cs="Verdana"/>
                <w:b/>
                <w:color w:val="000000"/>
                <w:szCs w:val="18"/>
              </w:rPr>
            </w:pPr>
            <w:r w:rsidRPr="007E5FBB">
              <w:rPr>
                <w:rFonts w:eastAsia="Verdana" w:cs="Verdana"/>
                <w:b/>
                <w:color w:val="000000"/>
                <w:szCs w:val="18"/>
              </w:rPr>
              <w:t>Mott MacDonald CZ, spol. s r.o.</w:t>
            </w:r>
          </w:p>
        </w:tc>
        <w:tc>
          <w:tcPr>
            <w:tcW w:w="2009" w:type="dxa"/>
            <w:vAlign w:val="center"/>
          </w:tcPr>
          <w:p w14:paraId="3836536A" w14:textId="77777777" w:rsidR="007E5FBB" w:rsidRPr="007E5FBB" w:rsidRDefault="007E5FBB" w:rsidP="007E5FBB">
            <w:pPr>
              <w:autoSpaceDE w:val="0"/>
              <w:autoSpaceDN w:val="0"/>
              <w:spacing w:before="0" w:after="240" w:line="262" w:lineRule="auto"/>
              <w:ind w:left="10" w:right="455" w:hanging="10"/>
              <w:rPr>
                <w:rFonts w:eastAsia="Verdana" w:cs="Verdana"/>
                <w:color w:val="000000"/>
                <w:szCs w:val="18"/>
              </w:rPr>
            </w:pPr>
            <w:r w:rsidRPr="007E5FBB">
              <w:rPr>
                <w:rFonts w:eastAsia="Verdana" w:cs="Verdana"/>
                <w:color w:val="000000"/>
                <w:szCs w:val="18"/>
              </w:rPr>
              <w:t>Národní 984/15, Staré Město, 110 00 Praha 1</w:t>
            </w:r>
          </w:p>
        </w:tc>
        <w:tc>
          <w:tcPr>
            <w:tcW w:w="1276" w:type="dxa"/>
            <w:vAlign w:val="center"/>
          </w:tcPr>
          <w:p w14:paraId="172AD44A"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48588733</w:t>
            </w:r>
          </w:p>
        </w:tc>
        <w:tc>
          <w:tcPr>
            <w:tcW w:w="1417" w:type="dxa"/>
            <w:vAlign w:val="center"/>
          </w:tcPr>
          <w:p w14:paraId="611ED8FF" w14:textId="77777777" w:rsidR="007E5FBB" w:rsidRPr="007E5FBB" w:rsidRDefault="007E5FBB" w:rsidP="007E5FBB">
            <w:pPr>
              <w:spacing w:before="0" w:after="240" w:line="264" w:lineRule="auto"/>
              <w:ind w:left="0"/>
              <w:rPr>
                <w:rFonts w:eastAsia="Verdana" w:cs="Times New Roman"/>
                <w:szCs w:val="18"/>
              </w:rPr>
            </w:pPr>
            <w:r w:rsidRPr="007E5FBB">
              <w:rPr>
                <w:rFonts w:eastAsia="Verdana" w:cs="Times New Roman"/>
                <w:szCs w:val="18"/>
              </w:rPr>
              <w:t>22. 8. 2023</w:t>
            </w:r>
          </w:p>
        </w:tc>
      </w:tr>
      <w:tr w:rsidR="007E5FBB" w:rsidRPr="007E5FBB" w14:paraId="7E1AD55D" w14:textId="77777777" w:rsidTr="00CF7C4A">
        <w:tc>
          <w:tcPr>
            <w:tcW w:w="2669" w:type="dxa"/>
            <w:vAlign w:val="center"/>
          </w:tcPr>
          <w:p w14:paraId="43113B95" w14:textId="77777777" w:rsidR="007E5FBB" w:rsidRPr="007E5FBB" w:rsidRDefault="007E5FBB" w:rsidP="007E5FBB">
            <w:pPr>
              <w:autoSpaceDE w:val="0"/>
              <w:autoSpaceDN w:val="0"/>
              <w:spacing w:before="0" w:after="240" w:line="262" w:lineRule="auto"/>
              <w:ind w:left="10" w:right="73" w:hanging="10"/>
              <w:rPr>
                <w:rFonts w:eastAsia="Verdana" w:cs="Verdana"/>
                <w:b/>
                <w:color w:val="000000"/>
                <w:szCs w:val="18"/>
              </w:rPr>
            </w:pPr>
            <w:proofErr w:type="spellStart"/>
            <w:r w:rsidRPr="007E5FBB">
              <w:rPr>
                <w:rFonts w:eastAsia="Verdana" w:cs="Verdana"/>
                <w:b/>
                <w:color w:val="000000"/>
                <w:szCs w:val="18"/>
              </w:rPr>
              <w:t>PricewaterhouseCoopers</w:t>
            </w:r>
            <w:proofErr w:type="spellEnd"/>
            <w:r w:rsidRPr="007E5FBB">
              <w:rPr>
                <w:rFonts w:eastAsia="Verdana" w:cs="Verdana"/>
                <w:b/>
                <w:color w:val="000000"/>
                <w:szCs w:val="18"/>
              </w:rPr>
              <w:t xml:space="preserve"> Česká republika, s.r.o.</w:t>
            </w:r>
          </w:p>
        </w:tc>
        <w:tc>
          <w:tcPr>
            <w:tcW w:w="2009" w:type="dxa"/>
            <w:vAlign w:val="center"/>
          </w:tcPr>
          <w:p w14:paraId="0727A045"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Hvězdova 1734/2c, Nusle, 140 00 Praha 4</w:t>
            </w:r>
          </w:p>
        </w:tc>
        <w:tc>
          <w:tcPr>
            <w:tcW w:w="1276" w:type="dxa"/>
            <w:vAlign w:val="center"/>
          </w:tcPr>
          <w:p w14:paraId="163C2214"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61063029</w:t>
            </w:r>
          </w:p>
        </w:tc>
        <w:tc>
          <w:tcPr>
            <w:tcW w:w="1417" w:type="dxa"/>
            <w:vAlign w:val="center"/>
          </w:tcPr>
          <w:p w14:paraId="1BF416C9" w14:textId="77777777" w:rsidR="007E5FBB" w:rsidRPr="007E5FBB" w:rsidRDefault="007E5FBB" w:rsidP="007E5FBB">
            <w:pPr>
              <w:spacing w:before="0" w:after="240" w:line="264" w:lineRule="auto"/>
              <w:ind w:left="0"/>
              <w:rPr>
                <w:rFonts w:eastAsia="Verdana" w:cs="Times New Roman"/>
                <w:szCs w:val="18"/>
              </w:rPr>
            </w:pPr>
            <w:r w:rsidRPr="007E5FBB">
              <w:rPr>
                <w:rFonts w:eastAsia="Verdana" w:cs="Times New Roman"/>
                <w:szCs w:val="18"/>
              </w:rPr>
              <w:t>23. 8. 2023</w:t>
            </w:r>
          </w:p>
        </w:tc>
      </w:tr>
      <w:tr w:rsidR="007E5FBB" w:rsidRPr="007E5FBB" w14:paraId="12B9360F" w14:textId="77777777" w:rsidTr="00CF7C4A">
        <w:tc>
          <w:tcPr>
            <w:tcW w:w="2669" w:type="dxa"/>
            <w:vAlign w:val="center"/>
          </w:tcPr>
          <w:p w14:paraId="66784166" w14:textId="77777777" w:rsidR="007E5FBB" w:rsidRPr="007E5FBB" w:rsidRDefault="007E5FBB" w:rsidP="007E5FBB">
            <w:pPr>
              <w:spacing w:before="0" w:after="240" w:line="261" w:lineRule="auto"/>
              <w:ind w:left="0" w:right="73"/>
              <w:rPr>
                <w:rFonts w:eastAsia="Verdana" w:cs="Verdana"/>
                <w:b/>
                <w:color w:val="000000"/>
                <w:szCs w:val="18"/>
              </w:rPr>
            </w:pPr>
            <w:r w:rsidRPr="007E5FBB">
              <w:rPr>
                <w:rFonts w:eastAsia="Verdana" w:cs="Verdana"/>
                <w:b/>
                <w:color w:val="000000"/>
                <w:szCs w:val="18"/>
              </w:rPr>
              <w:t>HAVEL &amp; PARTNERS s.r.o., advokátní kancelář</w:t>
            </w:r>
          </w:p>
        </w:tc>
        <w:tc>
          <w:tcPr>
            <w:tcW w:w="2009" w:type="dxa"/>
            <w:vAlign w:val="center"/>
          </w:tcPr>
          <w:p w14:paraId="2E71E68F" w14:textId="77777777" w:rsidR="007E5FBB" w:rsidRPr="007E5FBB" w:rsidRDefault="007E5FBB" w:rsidP="007E5FBB">
            <w:pPr>
              <w:spacing w:before="0" w:after="0" w:line="261" w:lineRule="auto"/>
              <w:ind w:left="0"/>
              <w:rPr>
                <w:rFonts w:eastAsia="Verdana" w:cs="Verdana"/>
                <w:color w:val="000000"/>
                <w:szCs w:val="18"/>
              </w:rPr>
            </w:pPr>
            <w:r w:rsidRPr="007E5FBB">
              <w:rPr>
                <w:rFonts w:eastAsia="Verdana" w:cs="Verdana"/>
                <w:color w:val="000000"/>
                <w:szCs w:val="18"/>
              </w:rPr>
              <w:t>Na Florenci 2116/15</w:t>
            </w:r>
          </w:p>
          <w:p w14:paraId="62A6C321"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110 00 Praha 1</w:t>
            </w:r>
          </w:p>
        </w:tc>
        <w:tc>
          <w:tcPr>
            <w:tcW w:w="1276" w:type="dxa"/>
            <w:vAlign w:val="center"/>
          </w:tcPr>
          <w:p w14:paraId="3298B842"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26454807</w:t>
            </w:r>
          </w:p>
        </w:tc>
        <w:tc>
          <w:tcPr>
            <w:tcW w:w="1417" w:type="dxa"/>
            <w:vAlign w:val="center"/>
          </w:tcPr>
          <w:p w14:paraId="27E18BB4"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23. 8. 2023</w:t>
            </w:r>
          </w:p>
        </w:tc>
      </w:tr>
      <w:tr w:rsidR="007E5FBB" w:rsidRPr="007E5FBB" w14:paraId="543824CE" w14:textId="77777777" w:rsidTr="00CF7C4A">
        <w:tc>
          <w:tcPr>
            <w:tcW w:w="2669" w:type="dxa"/>
            <w:vAlign w:val="center"/>
          </w:tcPr>
          <w:p w14:paraId="665BA3BB" w14:textId="77777777" w:rsidR="007E5FBB" w:rsidRPr="007E5FBB" w:rsidRDefault="007E5FBB" w:rsidP="007E5FBB">
            <w:pPr>
              <w:spacing w:before="0" w:after="240" w:line="261" w:lineRule="auto"/>
              <w:ind w:left="0" w:right="73"/>
              <w:rPr>
                <w:rFonts w:eastAsia="Verdana" w:cs="Verdana"/>
                <w:b/>
                <w:color w:val="000000"/>
                <w:szCs w:val="18"/>
              </w:rPr>
            </w:pPr>
            <w:proofErr w:type="spellStart"/>
            <w:r w:rsidRPr="007E5FBB">
              <w:rPr>
                <w:rFonts w:eastAsia="Verdana" w:cs="Verdana"/>
                <w:b/>
                <w:color w:val="000000"/>
                <w:szCs w:val="18"/>
              </w:rPr>
              <w:t>Dentons</w:t>
            </w:r>
            <w:proofErr w:type="spellEnd"/>
            <w:r w:rsidRPr="007E5FBB">
              <w:rPr>
                <w:rFonts w:eastAsia="Verdana" w:cs="Verdana"/>
                <w:b/>
                <w:color w:val="000000"/>
                <w:szCs w:val="18"/>
              </w:rPr>
              <w:t xml:space="preserve"> </w:t>
            </w:r>
            <w:proofErr w:type="spellStart"/>
            <w:r w:rsidRPr="007E5FBB">
              <w:rPr>
                <w:rFonts w:eastAsia="Verdana" w:cs="Verdana"/>
                <w:b/>
                <w:color w:val="000000"/>
                <w:szCs w:val="18"/>
              </w:rPr>
              <w:t>Europe</w:t>
            </w:r>
            <w:proofErr w:type="spellEnd"/>
            <w:r w:rsidRPr="007E5FBB">
              <w:rPr>
                <w:rFonts w:eastAsia="Verdana" w:cs="Verdana"/>
                <w:b/>
                <w:color w:val="000000"/>
                <w:szCs w:val="18"/>
              </w:rPr>
              <w:t xml:space="preserve"> CS LLP, organizační složka</w:t>
            </w:r>
          </w:p>
        </w:tc>
        <w:tc>
          <w:tcPr>
            <w:tcW w:w="2009" w:type="dxa"/>
            <w:vAlign w:val="center"/>
          </w:tcPr>
          <w:p w14:paraId="64A5254F"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V celnici 1034/6, Nové Město, 110 00 Praha 1</w:t>
            </w:r>
          </w:p>
        </w:tc>
        <w:tc>
          <w:tcPr>
            <w:tcW w:w="1276" w:type="dxa"/>
            <w:vAlign w:val="center"/>
          </w:tcPr>
          <w:p w14:paraId="2E952284"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28499808</w:t>
            </w:r>
          </w:p>
        </w:tc>
        <w:tc>
          <w:tcPr>
            <w:tcW w:w="1417" w:type="dxa"/>
            <w:vAlign w:val="center"/>
          </w:tcPr>
          <w:p w14:paraId="2A59DB20"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23. 8. 2023</w:t>
            </w:r>
          </w:p>
        </w:tc>
      </w:tr>
      <w:tr w:rsidR="007E5FBB" w:rsidRPr="007E5FBB" w14:paraId="60514BBA" w14:textId="77777777" w:rsidTr="00CF7C4A">
        <w:trPr>
          <w:trHeight w:val="626"/>
        </w:trPr>
        <w:tc>
          <w:tcPr>
            <w:tcW w:w="2669" w:type="dxa"/>
            <w:vAlign w:val="center"/>
          </w:tcPr>
          <w:p w14:paraId="08E8C5EF" w14:textId="77777777" w:rsidR="007E5FBB" w:rsidRPr="007E5FBB" w:rsidRDefault="007E5FBB" w:rsidP="007E5FBB">
            <w:pPr>
              <w:shd w:val="clear" w:color="auto" w:fill="FFFFFF"/>
              <w:spacing w:before="0" w:after="240" w:line="264" w:lineRule="auto"/>
              <w:ind w:left="0" w:right="73"/>
              <w:textAlignment w:val="baseline"/>
              <w:rPr>
                <w:rFonts w:eastAsia="Verdana" w:cs="Verdana"/>
                <w:b/>
                <w:color w:val="000000"/>
                <w:szCs w:val="18"/>
              </w:rPr>
            </w:pPr>
            <w:r w:rsidRPr="007E5FBB">
              <w:rPr>
                <w:rFonts w:eastAsia="Verdana" w:cs="Verdana"/>
                <w:b/>
                <w:color w:val="000000"/>
                <w:szCs w:val="18"/>
              </w:rPr>
              <w:t xml:space="preserve">Asociace pro rozvoj infrastruktury, </w:t>
            </w:r>
            <w:proofErr w:type="spellStart"/>
            <w:r w:rsidRPr="007E5FBB">
              <w:rPr>
                <w:rFonts w:eastAsia="Verdana" w:cs="Verdana"/>
                <w:b/>
                <w:color w:val="000000"/>
                <w:szCs w:val="18"/>
              </w:rPr>
              <w:t>z.s</w:t>
            </w:r>
            <w:proofErr w:type="spellEnd"/>
            <w:r w:rsidRPr="007E5FBB">
              <w:rPr>
                <w:rFonts w:eastAsia="Verdana" w:cs="Verdana"/>
                <w:b/>
                <w:color w:val="000000"/>
                <w:szCs w:val="18"/>
              </w:rPr>
              <w:t>.</w:t>
            </w:r>
          </w:p>
        </w:tc>
        <w:tc>
          <w:tcPr>
            <w:tcW w:w="2009" w:type="dxa"/>
            <w:vAlign w:val="center"/>
          </w:tcPr>
          <w:p w14:paraId="64FE2628"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Na příkopě 583/15, Staré Město, 110 00 Praha 1</w:t>
            </w:r>
          </w:p>
        </w:tc>
        <w:tc>
          <w:tcPr>
            <w:tcW w:w="1276" w:type="dxa"/>
            <w:vAlign w:val="center"/>
          </w:tcPr>
          <w:p w14:paraId="050ABF8D"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26671395</w:t>
            </w:r>
          </w:p>
        </w:tc>
        <w:tc>
          <w:tcPr>
            <w:tcW w:w="1417" w:type="dxa"/>
            <w:vAlign w:val="center"/>
          </w:tcPr>
          <w:p w14:paraId="086330BC"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23. 8. 2023</w:t>
            </w:r>
          </w:p>
        </w:tc>
      </w:tr>
      <w:tr w:rsidR="007E5FBB" w:rsidRPr="007E5FBB" w14:paraId="783A1A5C" w14:textId="77777777" w:rsidTr="00CF7C4A">
        <w:trPr>
          <w:trHeight w:val="626"/>
        </w:trPr>
        <w:tc>
          <w:tcPr>
            <w:tcW w:w="2669" w:type="dxa"/>
            <w:vAlign w:val="center"/>
          </w:tcPr>
          <w:p w14:paraId="29D2F796" w14:textId="77777777" w:rsidR="007E5FBB" w:rsidRPr="007E5FBB" w:rsidRDefault="007E5FBB" w:rsidP="007E5FBB">
            <w:pPr>
              <w:shd w:val="clear" w:color="auto" w:fill="FFFFFF"/>
              <w:spacing w:before="0" w:after="240" w:line="264" w:lineRule="auto"/>
              <w:ind w:left="0" w:right="73"/>
              <w:textAlignment w:val="baseline"/>
              <w:rPr>
                <w:rFonts w:eastAsia="Verdana" w:cs="Verdana"/>
                <w:b/>
                <w:color w:val="000000"/>
                <w:szCs w:val="18"/>
              </w:rPr>
            </w:pPr>
            <w:r w:rsidRPr="007E5FBB">
              <w:rPr>
                <w:rFonts w:eastAsia="Verdana" w:cs="Verdana"/>
                <w:b/>
                <w:color w:val="000000"/>
                <w:szCs w:val="18"/>
              </w:rPr>
              <w:t>CÍSAŘ, ČEŠKA, SMUTNÝ s.r.o., advokátní kancelář</w:t>
            </w:r>
          </w:p>
        </w:tc>
        <w:tc>
          <w:tcPr>
            <w:tcW w:w="2009" w:type="dxa"/>
            <w:vAlign w:val="center"/>
          </w:tcPr>
          <w:p w14:paraId="1D71073E"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Hvězdova 1716/</w:t>
            </w:r>
            <w:proofErr w:type="gramStart"/>
            <w:r w:rsidRPr="007E5FBB">
              <w:rPr>
                <w:rFonts w:eastAsia="Verdana" w:cs="Verdana"/>
                <w:color w:val="000000"/>
                <w:szCs w:val="18"/>
              </w:rPr>
              <w:t>2b</w:t>
            </w:r>
            <w:proofErr w:type="gramEnd"/>
            <w:r w:rsidRPr="007E5FBB">
              <w:rPr>
                <w:rFonts w:eastAsia="Verdana" w:cs="Verdana"/>
                <w:color w:val="000000"/>
                <w:szCs w:val="18"/>
              </w:rPr>
              <w:t>, Nusle, 140 00 Praha 4</w:t>
            </w:r>
          </w:p>
        </w:tc>
        <w:tc>
          <w:tcPr>
            <w:tcW w:w="1276" w:type="dxa"/>
            <w:vAlign w:val="center"/>
          </w:tcPr>
          <w:p w14:paraId="142F8F85"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48118753</w:t>
            </w:r>
          </w:p>
        </w:tc>
        <w:tc>
          <w:tcPr>
            <w:tcW w:w="1417" w:type="dxa"/>
            <w:vAlign w:val="center"/>
          </w:tcPr>
          <w:p w14:paraId="7FA1AB6B" w14:textId="77777777" w:rsidR="007E5FBB" w:rsidRPr="007E5FBB" w:rsidRDefault="007E5FBB" w:rsidP="007E5FBB">
            <w:pPr>
              <w:spacing w:before="0" w:after="240" w:line="261" w:lineRule="auto"/>
              <w:ind w:left="0"/>
              <w:rPr>
                <w:rFonts w:eastAsia="Verdana" w:cs="Verdana"/>
                <w:color w:val="000000"/>
                <w:szCs w:val="18"/>
              </w:rPr>
            </w:pPr>
            <w:r w:rsidRPr="007E5FBB">
              <w:rPr>
                <w:rFonts w:eastAsia="Verdana" w:cs="Verdana"/>
                <w:color w:val="000000"/>
                <w:szCs w:val="18"/>
              </w:rPr>
              <w:t>23. 8. 2023</w:t>
            </w:r>
          </w:p>
        </w:tc>
      </w:tr>
    </w:tbl>
    <w:p w14:paraId="20C5B5E8" w14:textId="39F6CB5B" w:rsidR="001F3E28" w:rsidRPr="007F488B" w:rsidRDefault="001F3E28" w:rsidP="007F488B">
      <w:pPr>
        <w:ind w:left="1276"/>
        <w:jc w:val="both"/>
        <w:rPr>
          <w:szCs w:val="18"/>
        </w:rPr>
      </w:pPr>
      <w:r w:rsidRPr="001F3E28">
        <w:rPr>
          <w:szCs w:val="18"/>
        </w:rPr>
        <w:t xml:space="preserve">Veškeré informace, které jsou výsledkem PTK a které jsou obsažené v zadávací dokumentaci, jakož i všechny podstatné informace, které byly obsahem PTK, jsou </w:t>
      </w:r>
      <w:r w:rsidRPr="001F3E28">
        <w:rPr>
          <w:szCs w:val="18"/>
        </w:rPr>
        <w:lastRenderedPageBreak/>
        <w:t xml:space="preserve">souhrnně obsaženy ve </w:t>
      </w:r>
      <w:r w:rsidRPr="001F3E28">
        <w:rPr>
          <w:b/>
          <w:bCs/>
          <w:szCs w:val="18"/>
        </w:rPr>
        <w:t>Vyhodnocení PTK</w:t>
      </w:r>
      <w:r w:rsidRPr="001F3E28">
        <w:rPr>
          <w:szCs w:val="18"/>
        </w:rPr>
        <w:t xml:space="preserve">, </w:t>
      </w:r>
      <w:r w:rsidRPr="00AB61B6">
        <w:rPr>
          <w:szCs w:val="18"/>
        </w:rPr>
        <w:t xml:space="preserve">které tvoří </w:t>
      </w:r>
      <w:r w:rsidRPr="003A640C">
        <w:rPr>
          <w:szCs w:val="18"/>
        </w:rPr>
        <w:t xml:space="preserve">přílohu č. </w:t>
      </w:r>
      <w:r w:rsidR="00C82E7E" w:rsidRPr="003A640C">
        <w:rPr>
          <w:szCs w:val="18"/>
        </w:rPr>
        <w:t>9</w:t>
      </w:r>
      <w:r w:rsidRPr="00AB61B6">
        <w:rPr>
          <w:szCs w:val="18"/>
        </w:rPr>
        <w:t xml:space="preserve"> této</w:t>
      </w:r>
      <w:r w:rsidRPr="001F3E28">
        <w:rPr>
          <w:szCs w:val="18"/>
        </w:rPr>
        <w:t xml:space="preserve"> zadávací dokumentace.</w:t>
      </w:r>
    </w:p>
    <w:bookmarkEnd w:id="0"/>
    <w:bookmarkEnd w:id="1"/>
    <w:bookmarkEnd w:id="2"/>
    <w:p w14:paraId="04424EF0" w14:textId="4406A51C" w:rsidR="005D636E" w:rsidRPr="001549EC" w:rsidRDefault="00FB1F17" w:rsidP="00725912">
      <w:pPr>
        <w:pStyle w:val="Nadpis1"/>
        <w:keepNext w:val="0"/>
        <w:keepLines w:val="0"/>
      </w:pPr>
      <w:r w:rsidRPr="00FB1F17">
        <w:t>Komunikace mezi zadavatelem a dodavatelem</w:t>
      </w:r>
      <w:r w:rsidR="005D636E" w:rsidRPr="001549EC">
        <w:t>:</w:t>
      </w:r>
    </w:p>
    <w:p w14:paraId="597CA564" w14:textId="32DA692E" w:rsidR="00FB1F17" w:rsidRDefault="00FB1F17" w:rsidP="00646BC3">
      <w:pPr>
        <w:pStyle w:val="Nadpis2"/>
      </w:pPr>
      <w:r>
        <w:t xml:space="preserve">Veškerá komunikace mezi </w:t>
      </w:r>
      <w:r w:rsidR="009C1EB0">
        <w:t>z</w:t>
      </w:r>
      <w:r>
        <w:t>adavatelem a dodavatelem musí být v souladu s § 211 ZZVZ vedena pouze písemnou formou, a to elektronicky, s výjimkou případů vymezených v ustanovení § 211 ZZVZ</w:t>
      </w:r>
      <w:r w:rsidR="00C164AF">
        <w:t>.</w:t>
      </w:r>
      <w:r w:rsidRPr="00FB1F17">
        <w:t xml:space="preserve"> </w:t>
      </w:r>
      <w:r w:rsidR="00C164AF">
        <w:t>Z</w:t>
      </w:r>
      <w:r w:rsidRPr="00FB1F17">
        <w:t>adavatel</w:t>
      </w:r>
      <w:r>
        <w:t xml:space="preserve"> </w:t>
      </w:r>
      <w:r w:rsidRPr="00FB1F17">
        <w:t>preferuje komunikaci prostřednictvím profilu zadavatele.</w:t>
      </w:r>
      <w:r>
        <w:t xml:space="preserve"> Doručování písemností a komunikace mezi </w:t>
      </w:r>
      <w:r w:rsidR="009C1EB0">
        <w:t>z</w:t>
      </w:r>
      <w:r>
        <w:t xml:space="preserve">adavatelem a dodavatelem bude ze strany </w:t>
      </w:r>
      <w:r w:rsidR="009C1EB0">
        <w:t>z</w:t>
      </w:r>
      <w:r>
        <w:t xml:space="preserve">adavatele probíhat prostřednictvím profilu zadavatele – elektronického nástroje E-ZAK (na adrese: </w:t>
      </w:r>
      <w:hyperlink r:id="rId12" w:history="1">
        <w:r w:rsidR="0098151D" w:rsidRPr="0014740C">
          <w:rPr>
            <w:rStyle w:val="Hypertextovodkaz"/>
          </w:rPr>
          <w:t>https://zakazky.spravazeleznic.cz/</w:t>
        </w:r>
      </w:hyperlink>
      <w:r>
        <w:t xml:space="preserve">),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w:t>
      </w:r>
      <w:r w:rsidR="009C1EB0">
        <w:t>z</w:t>
      </w:r>
      <w:r>
        <w:t>adavatel vždy odpovídat prostřednictvím elektronického nástroje.</w:t>
      </w:r>
    </w:p>
    <w:p w14:paraId="661975CE" w14:textId="5F4A9A85" w:rsidR="004740CC" w:rsidRDefault="00FB1F17" w:rsidP="00646BC3">
      <w:pPr>
        <w:pStyle w:val="Nadpis2"/>
      </w:pPr>
      <w:r>
        <w:t xml:space="preserve">Zpracování osobních údajů včetně jejich zvláštních kategorií případně poskytnutých v průběhu zadávacího řízení je </w:t>
      </w:r>
      <w:r w:rsidR="009C1EB0">
        <w:t>z</w:t>
      </w:r>
      <w:r>
        <w:t xml:space="preserve">adavatelem prováděno pouze za účelem zadání </w:t>
      </w:r>
      <w:r w:rsidR="00C164AF">
        <w:t>v</w:t>
      </w:r>
      <w:r>
        <w:t xml:space="preserve">eřejné zakázky, přičemž </w:t>
      </w:r>
      <w:r w:rsidR="009C1EB0">
        <w:t>z</w:t>
      </w:r>
      <w:r>
        <w:t>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9726EB7" w14:textId="21DE3EBC" w:rsidR="0051671E" w:rsidRPr="001549EC" w:rsidRDefault="008109EA" w:rsidP="00725912">
      <w:pPr>
        <w:pStyle w:val="Nadpis1"/>
        <w:keepNext w:val="0"/>
        <w:keepLines w:val="0"/>
      </w:pPr>
      <w:r w:rsidRPr="008109EA">
        <w:t>Předmět veřejné zakázky</w:t>
      </w:r>
      <w:r w:rsidR="00B46626" w:rsidRPr="001549EC">
        <w:t>:</w:t>
      </w:r>
    </w:p>
    <w:p w14:paraId="2B89E469" w14:textId="610330B2" w:rsidR="00964756" w:rsidRPr="007F488B" w:rsidRDefault="008109EA" w:rsidP="00646BC3">
      <w:pPr>
        <w:pStyle w:val="Nadpis2"/>
        <w:rPr>
          <w:u w:val="single"/>
        </w:rPr>
      </w:pPr>
      <w:r w:rsidRPr="007F488B">
        <w:rPr>
          <w:u w:val="single"/>
        </w:rPr>
        <w:t>Informace o předmětu veřejné zakázky</w:t>
      </w:r>
    </w:p>
    <w:p w14:paraId="6233C5BB" w14:textId="77777777" w:rsidR="00252DAC" w:rsidRDefault="00252DAC" w:rsidP="00F86C74">
      <w:pPr>
        <w:ind w:left="1276"/>
        <w:jc w:val="both"/>
      </w:pPr>
      <w:r>
        <w:t>Předmětem této veřejné zakázky na služby je poskytování komplexního právního, finančního, ekonomického a technického poradenství před a v průběhu zadávacího řízení na výběr koncesionáře pro Projekt, a to včetně poradenství pro možnost uzavření příslušných smluv zadavatelem.</w:t>
      </w:r>
    </w:p>
    <w:p w14:paraId="77357C29" w14:textId="6E83A3D7" w:rsidR="00252DAC" w:rsidRDefault="00252DAC" w:rsidP="00F86C74">
      <w:pPr>
        <w:ind w:left="1276"/>
        <w:jc w:val="both"/>
      </w:pPr>
      <w:r w:rsidRPr="005C7B11">
        <w:rPr>
          <w:b/>
          <w:bCs/>
        </w:rPr>
        <w:t>Projektem</w:t>
      </w:r>
      <w:r>
        <w:t xml:space="preserve"> se rozumí stavba „Modernizace trati Nemanice I – Ševětín“ (stavební fáze) a Provozování vybraných objektů stavby po dobu trvání Projektu (provozní fáze)</w:t>
      </w:r>
      <w:r w:rsidR="005C7B11">
        <w:t xml:space="preserve"> (dále také jen „</w:t>
      </w:r>
      <w:r w:rsidR="005C7B11" w:rsidRPr="005C7B11">
        <w:rPr>
          <w:b/>
          <w:bCs/>
        </w:rPr>
        <w:t>Projekt</w:t>
      </w:r>
      <w:r w:rsidR="005C7B11">
        <w:t>“)</w:t>
      </w:r>
      <w:r>
        <w:t xml:space="preserve">, přičemž Projekt je detailněji popsán v dokumentu </w:t>
      </w:r>
      <w:r w:rsidR="007C6DD6">
        <w:t>„</w:t>
      </w:r>
      <w:r>
        <w:t>Studie proveditelnosti PPP Projekt Nemanice – Ševětín</w:t>
      </w:r>
      <w:r w:rsidR="007C6DD6">
        <w:t>“</w:t>
      </w:r>
      <w:r>
        <w:t xml:space="preserve">, který tvoří </w:t>
      </w:r>
      <w:r w:rsidRPr="003A640C">
        <w:t xml:space="preserve">přílohu č. </w:t>
      </w:r>
      <w:r w:rsidR="007C6DD6" w:rsidRPr="003A640C">
        <w:t>10</w:t>
      </w:r>
      <w:r w:rsidRPr="003A640C">
        <w:t xml:space="preserve"> </w:t>
      </w:r>
      <w:r w:rsidR="007C6DD6" w:rsidRPr="003A640C">
        <w:t>této zadávací dokumentace</w:t>
      </w:r>
      <w:r w:rsidRPr="003A640C">
        <w:t>.</w:t>
      </w:r>
    </w:p>
    <w:p w14:paraId="0CBCCFAF" w14:textId="043549F7" w:rsidR="0041259E" w:rsidRPr="00535702" w:rsidRDefault="0041259E" w:rsidP="00F86C74">
      <w:pPr>
        <w:ind w:left="1276"/>
        <w:jc w:val="both"/>
        <w:rPr>
          <w:szCs w:val="18"/>
        </w:rPr>
      </w:pPr>
      <w:r w:rsidRPr="0041259E">
        <w:t xml:space="preserve">Zadavatel předpokládá, že zadávací řízení na výběr koncesionáře bude realizováno postupem dle </w:t>
      </w:r>
      <w:r w:rsidR="00296909">
        <w:t>ZZVZ</w:t>
      </w:r>
      <w:r w:rsidRPr="0041259E">
        <w:t xml:space="preserve">. Jako druh zadávacího řízení sleduje </w:t>
      </w:r>
      <w:r w:rsidR="00296909">
        <w:t>z</w:t>
      </w:r>
      <w:r w:rsidRPr="0041259E">
        <w:t>adavatel na základě dosud zpracovaných analýz a zkušeností</w:t>
      </w:r>
      <w:r w:rsidR="00FF26E8">
        <w:t xml:space="preserve"> </w:t>
      </w:r>
      <w:r w:rsidRPr="0041259E">
        <w:t xml:space="preserve">řízení se soutěžním dialogem dle § 68 ZZVZ. Platné znění ZZVZ umožňuje v řízení se soutěžním dialogem omezovat počty účastníků zadávacího řízení. Zadavatel předpokládá omezení počtu účastníků zadávacího řízení, s nimiž bude dále jednáno v soutěžním dialogu, na počet 4 účastníků. V případě, že by požadovanou kvalifikaci úspěšně splnil nižší počet účastníků zadávacího řízení, cena za poskytované služby vybranému dodavateli </w:t>
      </w:r>
      <w:r w:rsidRPr="0041259E">
        <w:lastRenderedPageBreak/>
        <w:t xml:space="preserve">bude vyměřena dle pravidel uvedených v </w:t>
      </w:r>
      <w:r w:rsidR="00D71F2A">
        <w:t>článku</w:t>
      </w:r>
      <w:r w:rsidRPr="0041259E">
        <w:t xml:space="preserve"> </w:t>
      </w:r>
      <w:r w:rsidR="00AB5EC4" w:rsidRPr="003A640C">
        <w:t>10.1.6.</w:t>
      </w:r>
      <w:r w:rsidRPr="0041259E">
        <w:t xml:space="preserve"> </w:t>
      </w:r>
      <w:r w:rsidR="00AB5EC4">
        <w:t xml:space="preserve">této zadávací </w:t>
      </w:r>
      <w:r w:rsidR="00AB5EC4" w:rsidRPr="00535702">
        <w:rPr>
          <w:szCs w:val="18"/>
        </w:rPr>
        <w:t>dokum</w:t>
      </w:r>
      <w:r w:rsidR="000001EE" w:rsidRPr="00535702">
        <w:rPr>
          <w:szCs w:val="18"/>
        </w:rPr>
        <w:t>en</w:t>
      </w:r>
      <w:r w:rsidR="00AB5EC4" w:rsidRPr="00535702">
        <w:rPr>
          <w:szCs w:val="18"/>
        </w:rPr>
        <w:t>tace</w:t>
      </w:r>
      <w:r w:rsidRPr="00535702">
        <w:rPr>
          <w:szCs w:val="18"/>
        </w:rPr>
        <w:t xml:space="preserve">, nebo bude cena vyměřena dle stejných pravidel v případě, že by se Zadavatel rozhodl snížit počet účastníků soutěžního dialogu na </w:t>
      </w:r>
      <w:r w:rsidRPr="003A640C">
        <w:rPr>
          <w:szCs w:val="18"/>
        </w:rPr>
        <w:t>počet 3 účastníků</w:t>
      </w:r>
      <w:r w:rsidRPr="00535702">
        <w:rPr>
          <w:szCs w:val="18"/>
        </w:rPr>
        <w:t xml:space="preserve">, se kterými bude v soutěžním dialogu následně jednat. Na základě koncesionářské smlouvy a vzhledem k jednáním v rámci soutěžního dialogu bude výsledkem smluvní uzavření podmínek financování </w:t>
      </w:r>
      <w:r w:rsidR="000001EE" w:rsidRPr="00535702">
        <w:rPr>
          <w:szCs w:val="18"/>
        </w:rPr>
        <w:t>PPP Nemanice – Ševětín, tedy finanční uzavření</w:t>
      </w:r>
      <w:r w:rsidRPr="00535702">
        <w:rPr>
          <w:szCs w:val="18"/>
        </w:rPr>
        <w:t>.</w:t>
      </w:r>
    </w:p>
    <w:p w14:paraId="1EB1EBB5" w14:textId="2AAC439D" w:rsidR="005C5013" w:rsidRDefault="00535702" w:rsidP="005C5013">
      <w:pPr>
        <w:ind w:left="1276"/>
        <w:jc w:val="both"/>
        <w:rPr>
          <w:rFonts w:cstheme="minorHAnsi"/>
          <w:szCs w:val="18"/>
        </w:rPr>
      </w:pPr>
      <w:r w:rsidRPr="00535702">
        <w:rPr>
          <w:rFonts w:cstheme="minorHAnsi"/>
          <w:szCs w:val="18"/>
        </w:rPr>
        <w:t xml:space="preserve">Zadavatel požaduje, aby strukturování Projektu bylo sledováno v podobě, která umožní evidovat aktiva Projektu mimo bilanci vládního dluhu a deficitu dle platných pravidel </w:t>
      </w:r>
      <w:proofErr w:type="spellStart"/>
      <w:r w:rsidRPr="00535702">
        <w:rPr>
          <w:rFonts w:cstheme="minorHAnsi"/>
          <w:szCs w:val="18"/>
        </w:rPr>
        <w:t>Eurostatu</w:t>
      </w:r>
      <w:proofErr w:type="spellEnd"/>
      <w:r w:rsidRPr="00535702">
        <w:rPr>
          <w:rFonts w:cstheme="minorHAnsi"/>
          <w:szCs w:val="18"/>
        </w:rPr>
        <w:t xml:space="preserve"> v souladu s evropským systémem vedení účtu, angl. </w:t>
      </w:r>
      <w:proofErr w:type="spellStart"/>
      <w:r w:rsidRPr="00535702">
        <w:rPr>
          <w:rFonts w:cstheme="minorHAnsi"/>
          <w:i/>
          <w:iCs/>
          <w:szCs w:val="18"/>
        </w:rPr>
        <w:t>European</w:t>
      </w:r>
      <w:proofErr w:type="spellEnd"/>
      <w:r w:rsidRPr="00535702">
        <w:rPr>
          <w:rFonts w:cstheme="minorHAnsi"/>
          <w:i/>
          <w:iCs/>
          <w:szCs w:val="18"/>
        </w:rPr>
        <w:t xml:space="preserve"> </w:t>
      </w:r>
      <w:proofErr w:type="spellStart"/>
      <w:r w:rsidRPr="00535702">
        <w:rPr>
          <w:rFonts w:cstheme="minorHAnsi"/>
          <w:i/>
          <w:iCs/>
          <w:szCs w:val="18"/>
        </w:rPr>
        <w:t>System</w:t>
      </w:r>
      <w:proofErr w:type="spellEnd"/>
      <w:r w:rsidRPr="00535702">
        <w:rPr>
          <w:rFonts w:cstheme="minorHAnsi"/>
          <w:i/>
          <w:iCs/>
          <w:szCs w:val="18"/>
        </w:rPr>
        <w:t xml:space="preserve"> </w:t>
      </w:r>
      <w:proofErr w:type="spellStart"/>
      <w:r w:rsidRPr="00535702">
        <w:rPr>
          <w:rFonts w:cstheme="minorHAnsi"/>
          <w:i/>
          <w:iCs/>
          <w:szCs w:val="18"/>
        </w:rPr>
        <w:t>of</w:t>
      </w:r>
      <w:proofErr w:type="spellEnd"/>
      <w:r w:rsidRPr="00535702">
        <w:rPr>
          <w:rFonts w:cstheme="minorHAnsi"/>
          <w:i/>
          <w:iCs/>
          <w:szCs w:val="18"/>
        </w:rPr>
        <w:t xml:space="preserve"> </w:t>
      </w:r>
      <w:proofErr w:type="spellStart"/>
      <w:r w:rsidRPr="00535702">
        <w:rPr>
          <w:rFonts w:cstheme="minorHAnsi"/>
          <w:i/>
          <w:iCs/>
          <w:szCs w:val="18"/>
        </w:rPr>
        <w:t>Accounts</w:t>
      </w:r>
      <w:proofErr w:type="spellEnd"/>
      <w:r w:rsidRPr="00535702">
        <w:rPr>
          <w:rFonts w:cstheme="minorHAnsi"/>
          <w:szCs w:val="18"/>
        </w:rPr>
        <w:t>, v aktuální verzi roku 2010 (dále jen „</w:t>
      </w:r>
      <w:r w:rsidRPr="00535702">
        <w:rPr>
          <w:rFonts w:cstheme="minorHAnsi"/>
          <w:b/>
          <w:bCs/>
          <w:szCs w:val="18"/>
        </w:rPr>
        <w:t>ESA 2010</w:t>
      </w:r>
      <w:r w:rsidRPr="00535702">
        <w:rPr>
          <w:rFonts w:cstheme="minorHAnsi"/>
          <w:szCs w:val="18"/>
        </w:rPr>
        <w:t xml:space="preserve">“). Redefinici tohoto požadavku </w:t>
      </w:r>
      <w:r w:rsidR="00C12477">
        <w:rPr>
          <w:rFonts w:cstheme="minorHAnsi"/>
          <w:szCs w:val="18"/>
        </w:rPr>
        <w:t>z</w:t>
      </w:r>
      <w:r w:rsidRPr="00535702">
        <w:rPr>
          <w:rFonts w:cstheme="minorHAnsi"/>
          <w:szCs w:val="18"/>
        </w:rPr>
        <w:t>adavatel nevylučuje v případě, že by tento požadavek znamenal značné znevýhodnění v oblasti dosahované hodnoty za peníze.</w:t>
      </w:r>
    </w:p>
    <w:p w14:paraId="41736492" w14:textId="55E7E60D" w:rsidR="00C12477" w:rsidRDefault="00C12477" w:rsidP="00F86C74">
      <w:pPr>
        <w:ind w:left="1276"/>
        <w:jc w:val="both"/>
        <w:rPr>
          <w:rFonts w:cstheme="minorHAnsi"/>
          <w:szCs w:val="18"/>
        </w:rPr>
      </w:pPr>
      <w:r w:rsidRPr="00C12477">
        <w:rPr>
          <w:rFonts w:cstheme="minorHAnsi"/>
          <w:szCs w:val="18"/>
        </w:rPr>
        <w:t xml:space="preserve">Zadavatel považuje za nezbytné, aby se na financování Projektu podílely mezinárodní finanční instituce, angl. </w:t>
      </w:r>
      <w:proofErr w:type="spellStart"/>
      <w:r w:rsidRPr="00C12477">
        <w:rPr>
          <w:rFonts w:cstheme="minorHAnsi"/>
          <w:i/>
          <w:iCs/>
          <w:szCs w:val="18"/>
        </w:rPr>
        <w:t>international</w:t>
      </w:r>
      <w:proofErr w:type="spellEnd"/>
      <w:r w:rsidRPr="00C12477">
        <w:rPr>
          <w:rFonts w:cstheme="minorHAnsi"/>
          <w:i/>
          <w:iCs/>
          <w:szCs w:val="18"/>
        </w:rPr>
        <w:t xml:space="preserve"> </w:t>
      </w:r>
      <w:proofErr w:type="spellStart"/>
      <w:r w:rsidRPr="00C12477">
        <w:rPr>
          <w:rFonts w:cstheme="minorHAnsi"/>
          <w:i/>
          <w:iCs/>
          <w:szCs w:val="18"/>
        </w:rPr>
        <w:t>financial</w:t>
      </w:r>
      <w:proofErr w:type="spellEnd"/>
      <w:r w:rsidRPr="00C12477">
        <w:rPr>
          <w:rFonts w:cstheme="minorHAnsi"/>
          <w:i/>
          <w:iCs/>
          <w:szCs w:val="18"/>
        </w:rPr>
        <w:t xml:space="preserve"> </w:t>
      </w:r>
      <w:proofErr w:type="spellStart"/>
      <w:r w:rsidRPr="00C12477">
        <w:rPr>
          <w:rFonts w:cstheme="minorHAnsi"/>
          <w:i/>
          <w:iCs/>
          <w:szCs w:val="18"/>
        </w:rPr>
        <w:t>institutions</w:t>
      </w:r>
      <w:proofErr w:type="spellEnd"/>
      <w:r w:rsidRPr="00C12477">
        <w:rPr>
          <w:rFonts w:cstheme="minorHAnsi"/>
          <w:szCs w:val="18"/>
        </w:rPr>
        <w:t xml:space="preserve"> (dále </w:t>
      </w:r>
      <w:r>
        <w:rPr>
          <w:rFonts w:cstheme="minorHAnsi"/>
          <w:szCs w:val="18"/>
        </w:rPr>
        <w:t xml:space="preserve">také </w:t>
      </w:r>
      <w:r w:rsidRPr="00C12477">
        <w:rPr>
          <w:rFonts w:cstheme="minorHAnsi"/>
          <w:szCs w:val="18"/>
        </w:rPr>
        <w:t>jen „</w:t>
      </w:r>
      <w:proofErr w:type="spellStart"/>
      <w:r w:rsidRPr="00C12477">
        <w:rPr>
          <w:rFonts w:cstheme="minorHAnsi"/>
          <w:b/>
          <w:bCs/>
          <w:szCs w:val="18"/>
        </w:rPr>
        <w:t>IFIs</w:t>
      </w:r>
      <w:proofErr w:type="spellEnd"/>
      <w:r w:rsidRPr="00C12477">
        <w:rPr>
          <w:rFonts w:cstheme="minorHAnsi"/>
          <w:szCs w:val="18"/>
        </w:rPr>
        <w:t>“), resp. aby</w:t>
      </w:r>
      <w:r>
        <w:rPr>
          <w:rFonts w:cstheme="minorHAnsi"/>
          <w:szCs w:val="18"/>
        </w:rPr>
        <w:t xml:space="preserve"> při realizaci </w:t>
      </w:r>
      <w:r w:rsidRPr="00C12477">
        <w:rPr>
          <w:rFonts w:cstheme="minorHAnsi"/>
          <w:szCs w:val="18"/>
        </w:rPr>
        <w:t xml:space="preserve">Projektu byly využity produkty, které jsou k dispozici v rámci tzv. inovativních finančních nástrojů. Zapojení </w:t>
      </w:r>
      <w:proofErr w:type="spellStart"/>
      <w:r w:rsidRPr="00C12477">
        <w:rPr>
          <w:rFonts w:cstheme="minorHAnsi"/>
          <w:szCs w:val="18"/>
        </w:rPr>
        <w:t>IFIs</w:t>
      </w:r>
      <w:proofErr w:type="spellEnd"/>
      <w:r w:rsidRPr="00C12477">
        <w:rPr>
          <w:rFonts w:cstheme="minorHAnsi"/>
          <w:szCs w:val="18"/>
        </w:rPr>
        <w:t xml:space="preserve"> </w:t>
      </w:r>
      <w:r w:rsidR="00C60369">
        <w:rPr>
          <w:rFonts w:cstheme="minorHAnsi"/>
          <w:szCs w:val="18"/>
        </w:rPr>
        <w:t xml:space="preserve">se </w:t>
      </w:r>
      <w:r w:rsidRPr="00C12477">
        <w:rPr>
          <w:rFonts w:cstheme="minorHAnsi"/>
          <w:szCs w:val="18"/>
        </w:rPr>
        <w:t>však</w:t>
      </w:r>
      <w:r w:rsidR="00C60369">
        <w:rPr>
          <w:rFonts w:cstheme="minorHAnsi"/>
          <w:szCs w:val="18"/>
        </w:rPr>
        <w:t xml:space="preserve"> odvíjí</w:t>
      </w:r>
      <w:r w:rsidRPr="00C12477">
        <w:rPr>
          <w:rFonts w:cstheme="minorHAnsi"/>
          <w:szCs w:val="18"/>
        </w:rPr>
        <w:t xml:space="preserve"> především od výsledných finančních podmínek, které budou strukturovány ve spolupráci s vybraným dodavatelem (</w:t>
      </w:r>
      <w:r>
        <w:rPr>
          <w:rFonts w:cstheme="minorHAnsi"/>
          <w:szCs w:val="18"/>
        </w:rPr>
        <w:t xml:space="preserve">transakčním </w:t>
      </w:r>
      <w:r w:rsidRPr="00C12477">
        <w:rPr>
          <w:rFonts w:cstheme="minorHAnsi"/>
          <w:szCs w:val="18"/>
        </w:rPr>
        <w:t xml:space="preserve">poradcem). </w:t>
      </w:r>
      <w:r>
        <w:rPr>
          <w:rFonts w:cstheme="minorHAnsi"/>
          <w:szCs w:val="18"/>
        </w:rPr>
        <w:t>Dodavatel</w:t>
      </w:r>
      <w:r w:rsidRPr="00C12477">
        <w:rPr>
          <w:rFonts w:cstheme="minorHAnsi"/>
          <w:szCs w:val="18"/>
        </w:rPr>
        <w:t xml:space="preserve"> bude v plném rozsahu zodpovědný za komunikaci s </w:t>
      </w:r>
      <w:proofErr w:type="spellStart"/>
      <w:r w:rsidRPr="00C12477">
        <w:rPr>
          <w:rFonts w:cstheme="minorHAnsi"/>
          <w:szCs w:val="18"/>
        </w:rPr>
        <w:t>IFIs</w:t>
      </w:r>
      <w:proofErr w:type="spellEnd"/>
      <w:r w:rsidRPr="00C12477">
        <w:rPr>
          <w:rFonts w:cstheme="minorHAnsi"/>
          <w:szCs w:val="18"/>
        </w:rPr>
        <w:t xml:space="preserve"> a za vypořádání jejích připomínek a dotazů, včetně případné modifikace parametrů Projektu tak, aby splnil minimální podmínky pro zajištění financování ze zdrojů těchto </w:t>
      </w:r>
      <w:proofErr w:type="spellStart"/>
      <w:r w:rsidRPr="00C12477">
        <w:rPr>
          <w:rFonts w:cstheme="minorHAnsi"/>
          <w:szCs w:val="18"/>
        </w:rPr>
        <w:t>IFIs</w:t>
      </w:r>
      <w:proofErr w:type="spellEnd"/>
      <w:r w:rsidRPr="00C12477">
        <w:rPr>
          <w:rFonts w:cstheme="minorHAnsi"/>
          <w:szCs w:val="18"/>
        </w:rPr>
        <w:t>, které budou s ohledem na celkové očekávatelné kapitálové výdaje Projektu nezbytné.</w:t>
      </w:r>
    </w:p>
    <w:p w14:paraId="641BD3AF" w14:textId="1696575A" w:rsidR="00901CC3" w:rsidRPr="00681B79" w:rsidRDefault="00222548" w:rsidP="00681B79">
      <w:pPr>
        <w:ind w:left="1276"/>
        <w:jc w:val="both"/>
        <w:rPr>
          <w:rFonts w:cstheme="minorHAnsi"/>
          <w:szCs w:val="18"/>
        </w:rPr>
      </w:pPr>
      <w:r w:rsidRPr="00222548">
        <w:rPr>
          <w:rFonts w:cstheme="minorHAnsi"/>
          <w:szCs w:val="18"/>
        </w:rPr>
        <w:t>Zadavatel v</w:t>
      </w:r>
      <w:r w:rsidR="00540D0F">
        <w:rPr>
          <w:rFonts w:cstheme="minorHAnsi"/>
          <w:szCs w:val="18"/>
        </w:rPr>
        <w:t> </w:t>
      </w:r>
      <w:r w:rsidRPr="00222548">
        <w:rPr>
          <w:rFonts w:cstheme="minorHAnsi"/>
          <w:szCs w:val="18"/>
        </w:rPr>
        <w:t>rámci</w:t>
      </w:r>
      <w:r w:rsidR="00540D0F">
        <w:rPr>
          <w:rFonts w:cstheme="minorHAnsi"/>
          <w:szCs w:val="18"/>
        </w:rPr>
        <w:t xml:space="preserve"> </w:t>
      </w:r>
      <w:r w:rsidR="00D05605">
        <w:rPr>
          <w:rFonts w:cstheme="minorHAnsi"/>
          <w:szCs w:val="18"/>
        </w:rPr>
        <w:t>Projektu</w:t>
      </w:r>
      <w:r>
        <w:rPr>
          <w:rFonts w:cstheme="minorHAnsi"/>
          <w:szCs w:val="18"/>
        </w:rPr>
        <w:t xml:space="preserve"> </w:t>
      </w:r>
      <w:r w:rsidRPr="00222548">
        <w:rPr>
          <w:rFonts w:cstheme="minorHAnsi"/>
          <w:szCs w:val="18"/>
        </w:rPr>
        <w:t>očekává plnění aktivit zaměřených na implementaci BIM v kontextu Koncepce BIM v ČR a v souladu s předpisy pro BIM pro stavby dopravní infrastruktury v aktuálním znění schválené</w:t>
      </w:r>
      <w:r w:rsidR="002C3889">
        <w:rPr>
          <w:rFonts w:cstheme="minorHAnsi"/>
          <w:szCs w:val="18"/>
        </w:rPr>
        <w:t>m</w:t>
      </w:r>
      <w:r w:rsidRPr="00222548">
        <w:rPr>
          <w:rFonts w:cstheme="minorHAnsi"/>
          <w:szCs w:val="18"/>
        </w:rPr>
        <w:t xml:space="preserve"> Centrální komisí MD ČR a metodikami, které vychází z datového standardu tvořeného SFDI.</w:t>
      </w:r>
      <w:r w:rsidR="00540D0F">
        <w:rPr>
          <w:rFonts w:cstheme="minorHAnsi"/>
          <w:szCs w:val="18"/>
        </w:rPr>
        <w:t xml:space="preserve"> Předmětné bude dodavatel povinen zohlednit také v rámci plnění této veřejné zakázky.</w:t>
      </w:r>
    </w:p>
    <w:p w14:paraId="5B34CBD4" w14:textId="195B7A6E" w:rsidR="00551908" w:rsidRPr="00535702" w:rsidRDefault="00252DAC" w:rsidP="00F86C74">
      <w:pPr>
        <w:ind w:left="1276"/>
        <w:jc w:val="both"/>
        <w:rPr>
          <w:szCs w:val="18"/>
        </w:rPr>
      </w:pPr>
      <w:r w:rsidRPr="00535702">
        <w:rPr>
          <w:szCs w:val="18"/>
        </w:rPr>
        <w:t xml:space="preserve">Zadavatel vyžaduje ocenění komplexního rozsahu služeb, které jsou/budou nebo mohou být nezbytné k provedení všech formálních úkonů nutných k úspěšnému finančnímu uzavření Projektu ve smyslu příslušných ustanovení </w:t>
      </w:r>
      <w:r w:rsidR="00297AA8" w:rsidRPr="00535702">
        <w:rPr>
          <w:szCs w:val="18"/>
        </w:rPr>
        <w:t>ZZVZ</w:t>
      </w:r>
      <w:r w:rsidRPr="00535702">
        <w:rPr>
          <w:szCs w:val="18"/>
        </w:rPr>
        <w:t>, zákona České národní rady č. 114/1992 Sb., o ochraně přírody a krajiny, ve znění pozdějších předpisů a dalších relevantních právních předpisů.</w:t>
      </w:r>
    </w:p>
    <w:p w14:paraId="1DD5DDB7" w14:textId="00553C9E" w:rsidR="00551908" w:rsidRPr="007F488B" w:rsidRDefault="00252DAC" w:rsidP="009A442F">
      <w:pPr>
        <w:pStyle w:val="Nadpis2"/>
        <w:spacing w:after="120"/>
        <w:rPr>
          <w:u w:val="single"/>
        </w:rPr>
      </w:pPr>
      <w:r w:rsidRPr="007F488B">
        <w:rPr>
          <w:u w:val="single"/>
        </w:rPr>
        <w:t>Klasifikace dle CPV</w:t>
      </w:r>
    </w:p>
    <w:p w14:paraId="62571679" w14:textId="691E9A2B"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71311210-6</w:t>
      </w:r>
      <w:r w:rsidR="000A4CDF">
        <w:rPr>
          <w:rFonts w:ascii="Verdana" w:hAnsi="Verdana"/>
          <w:sz w:val="18"/>
          <w:szCs w:val="18"/>
        </w:rPr>
        <w:tab/>
      </w:r>
      <w:r w:rsidRPr="00EB05D3">
        <w:rPr>
          <w:rFonts w:ascii="Verdana" w:hAnsi="Verdana"/>
          <w:sz w:val="18"/>
          <w:szCs w:val="18"/>
        </w:rPr>
        <w:t xml:space="preserve">Poradenství v oblasti dopravního stavitelství </w:t>
      </w:r>
    </w:p>
    <w:p w14:paraId="42061991" w14:textId="7BFBAF40"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71311300-4 </w:t>
      </w:r>
      <w:r w:rsidR="00B0108B">
        <w:rPr>
          <w:rFonts w:ascii="Verdana" w:hAnsi="Verdana"/>
          <w:sz w:val="18"/>
          <w:szCs w:val="18"/>
        </w:rPr>
        <w:tab/>
      </w:r>
      <w:r w:rsidRPr="00EB05D3">
        <w:rPr>
          <w:rFonts w:ascii="Verdana" w:hAnsi="Verdana"/>
          <w:sz w:val="18"/>
          <w:szCs w:val="18"/>
        </w:rPr>
        <w:t xml:space="preserve">Poradenství v oblasti infrastruktury </w:t>
      </w:r>
    </w:p>
    <w:p w14:paraId="7F0FA1F2" w14:textId="6CFAB4FC"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79400000-8 </w:t>
      </w:r>
      <w:r w:rsidR="00B0108B">
        <w:rPr>
          <w:rFonts w:ascii="Verdana" w:hAnsi="Verdana"/>
          <w:sz w:val="18"/>
          <w:szCs w:val="18"/>
        </w:rPr>
        <w:tab/>
      </w:r>
      <w:r w:rsidRPr="00EB05D3">
        <w:rPr>
          <w:rFonts w:ascii="Verdana" w:hAnsi="Verdana"/>
          <w:sz w:val="18"/>
          <w:szCs w:val="18"/>
        </w:rPr>
        <w:t xml:space="preserve">Podnikatelské a manažerské poradenství a související služby </w:t>
      </w:r>
    </w:p>
    <w:p w14:paraId="15C4ABB1" w14:textId="43973FE8"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79140000-7 </w:t>
      </w:r>
      <w:r w:rsidR="000A4CDF">
        <w:rPr>
          <w:rFonts w:ascii="Verdana" w:hAnsi="Verdana"/>
          <w:sz w:val="18"/>
          <w:szCs w:val="18"/>
        </w:rPr>
        <w:tab/>
      </w:r>
      <w:r w:rsidRPr="00EB05D3">
        <w:rPr>
          <w:rFonts w:ascii="Verdana" w:hAnsi="Verdana"/>
          <w:sz w:val="18"/>
          <w:szCs w:val="18"/>
        </w:rPr>
        <w:t xml:space="preserve">Právní poradenství a informace </w:t>
      </w:r>
    </w:p>
    <w:p w14:paraId="34FB52A2" w14:textId="7C134C4B"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79412000-5 </w:t>
      </w:r>
      <w:r w:rsidR="00B0108B">
        <w:rPr>
          <w:rFonts w:ascii="Verdana" w:hAnsi="Verdana"/>
          <w:sz w:val="18"/>
          <w:szCs w:val="18"/>
        </w:rPr>
        <w:tab/>
      </w:r>
      <w:r w:rsidRPr="00EB05D3">
        <w:rPr>
          <w:rFonts w:ascii="Verdana" w:hAnsi="Verdana"/>
          <w:sz w:val="18"/>
          <w:szCs w:val="18"/>
        </w:rPr>
        <w:t xml:space="preserve">Poradenství v oblasti finančního řízení </w:t>
      </w:r>
    </w:p>
    <w:p w14:paraId="289DE692" w14:textId="13EEF1EA"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79111000-5 </w:t>
      </w:r>
      <w:r w:rsidR="00B0108B">
        <w:rPr>
          <w:rFonts w:ascii="Verdana" w:hAnsi="Verdana"/>
          <w:sz w:val="18"/>
          <w:szCs w:val="18"/>
        </w:rPr>
        <w:tab/>
      </w:r>
      <w:r w:rsidRPr="00EB05D3">
        <w:rPr>
          <w:rFonts w:ascii="Verdana" w:hAnsi="Verdana"/>
          <w:sz w:val="18"/>
          <w:szCs w:val="18"/>
        </w:rPr>
        <w:t xml:space="preserve">Právní poradenství </w:t>
      </w:r>
    </w:p>
    <w:p w14:paraId="4CA34116" w14:textId="17D2FADF"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79100000-5 </w:t>
      </w:r>
      <w:r w:rsidR="00B0108B">
        <w:rPr>
          <w:rFonts w:ascii="Verdana" w:hAnsi="Verdana"/>
          <w:sz w:val="18"/>
          <w:szCs w:val="18"/>
        </w:rPr>
        <w:tab/>
      </w:r>
      <w:r w:rsidRPr="00EB05D3">
        <w:rPr>
          <w:rFonts w:ascii="Verdana" w:hAnsi="Verdana"/>
          <w:sz w:val="18"/>
          <w:szCs w:val="18"/>
        </w:rPr>
        <w:t xml:space="preserve">Právní služby </w:t>
      </w:r>
    </w:p>
    <w:p w14:paraId="2E04BEDD" w14:textId="55401E30"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66171000-9 </w:t>
      </w:r>
      <w:r w:rsidR="00B0108B">
        <w:rPr>
          <w:rFonts w:ascii="Verdana" w:hAnsi="Verdana"/>
          <w:sz w:val="18"/>
          <w:szCs w:val="18"/>
        </w:rPr>
        <w:tab/>
      </w:r>
      <w:r w:rsidRPr="00EB05D3">
        <w:rPr>
          <w:rFonts w:ascii="Verdana" w:hAnsi="Verdana"/>
          <w:sz w:val="18"/>
          <w:szCs w:val="18"/>
        </w:rPr>
        <w:t xml:space="preserve">Finanční poradenství </w:t>
      </w:r>
    </w:p>
    <w:p w14:paraId="071ADDE9" w14:textId="701E4B6A"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71356300-1 </w:t>
      </w:r>
      <w:r w:rsidR="00B0108B">
        <w:rPr>
          <w:rFonts w:ascii="Verdana" w:hAnsi="Verdana"/>
          <w:sz w:val="18"/>
          <w:szCs w:val="18"/>
        </w:rPr>
        <w:tab/>
      </w:r>
      <w:r w:rsidRPr="00EB05D3">
        <w:rPr>
          <w:rFonts w:ascii="Verdana" w:hAnsi="Verdana"/>
          <w:sz w:val="18"/>
          <w:szCs w:val="18"/>
        </w:rPr>
        <w:t xml:space="preserve">Technická podpora </w:t>
      </w:r>
    </w:p>
    <w:p w14:paraId="2CBFDAE9" w14:textId="4BFAD085" w:rsidR="00DC02D8" w:rsidRPr="00EB05D3" w:rsidRDefault="00DC02D8" w:rsidP="00B0108B">
      <w:pPr>
        <w:pStyle w:val="Default"/>
        <w:numPr>
          <w:ilvl w:val="0"/>
          <w:numId w:val="13"/>
        </w:numPr>
        <w:tabs>
          <w:tab w:val="left" w:pos="3119"/>
        </w:tabs>
        <w:ind w:left="1701" w:hanging="426"/>
        <w:rPr>
          <w:rFonts w:ascii="Verdana" w:hAnsi="Verdana"/>
          <w:sz w:val="18"/>
          <w:szCs w:val="18"/>
        </w:rPr>
      </w:pPr>
      <w:r w:rsidRPr="00EB05D3">
        <w:rPr>
          <w:rFonts w:ascii="Verdana" w:hAnsi="Verdana"/>
          <w:sz w:val="18"/>
          <w:szCs w:val="18"/>
        </w:rPr>
        <w:t xml:space="preserve">71356000-8 </w:t>
      </w:r>
      <w:r w:rsidR="00B0108B">
        <w:rPr>
          <w:rFonts w:ascii="Verdana" w:hAnsi="Verdana"/>
          <w:sz w:val="18"/>
          <w:szCs w:val="18"/>
        </w:rPr>
        <w:tab/>
      </w:r>
      <w:r w:rsidRPr="00EB05D3">
        <w:rPr>
          <w:rFonts w:ascii="Verdana" w:hAnsi="Verdana"/>
          <w:sz w:val="18"/>
          <w:szCs w:val="18"/>
        </w:rPr>
        <w:t xml:space="preserve">Technické služby </w:t>
      </w:r>
    </w:p>
    <w:p w14:paraId="573DD703" w14:textId="77E83964" w:rsidR="00DC02D8" w:rsidRPr="0071208C" w:rsidRDefault="00DC02D8" w:rsidP="00B0108B">
      <w:pPr>
        <w:pStyle w:val="MDSR"/>
        <w:numPr>
          <w:ilvl w:val="0"/>
          <w:numId w:val="13"/>
        </w:numPr>
        <w:tabs>
          <w:tab w:val="left" w:pos="3119"/>
        </w:tabs>
        <w:spacing w:before="0" w:line="276" w:lineRule="auto"/>
        <w:ind w:left="1701" w:hanging="426"/>
        <w:rPr>
          <w:rFonts w:ascii="Verdana" w:hAnsi="Verdana"/>
          <w:b/>
          <w:sz w:val="18"/>
          <w:szCs w:val="18"/>
        </w:rPr>
      </w:pPr>
      <w:r w:rsidRPr="00EB05D3">
        <w:rPr>
          <w:rFonts w:ascii="Verdana" w:hAnsi="Verdana"/>
          <w:sz w:val="18"/>
          <w:szCs w:val="18"/>
        </w:rPr>
        <w:t xml:space="preserve">71356100-9 </w:t>
      </w:r>
      <w:r w:rsidR="00B0108B">
        <w:rPr>
          <w:rFonts w:ascii="Verdana" w:hAnsi="Verdana"/>
          <w:sz w:val="18"/>
          <w:szCs w:val="18"/>
        </w:rPr>
        <w:tab/>
      </w:r>
      <w:r w:rsidR="006A0D38" w:rsidRPr="006A0D38">
        <w:rPr>
          <w:rFonts w:ascii="Verdana" w:hAnsi="Verdana"/>
          <w:sz w:val="18"/>
          <w:szCs w:val="18"/>
        </w:rPr>
        <w:t>Technická kontrola</w:t>
      </w:r>
    </w:p>
    <w:p w14:paraId="0F2659E8" w14:textId="39221CBC" w:rsidR="0071208C" w:rsidRPr="007F488B" w:rsidRDefault="0071208C" w:rsidP="00646BC3">
      <w:pPr>
        <w:pStyle w:val="Nadpis2"/>
        <w:rPr>
          <w:u w:val="single"/>
        </w:rPr>
      </w:pPr>
      <w:r w:rsidRPr="007F488B">
        <w:rPr>
          <w:u w:val="single"/>
        </w:rPr>
        <w:lastRenderedPageBreak/>
        <w:t>Předpokládaná hodnota</w:t>
      </w:r>
    </w:p>
    <w:p w14:paraId="529A8EC3" w14:textId="1525ECF2" w:rsidR="007B159A" w:rsidRPr="007B159A" w:rsidRDefault="007B159A" w:rsidP="007E2395">
      <w:pPr>
        <w:pStyle w:val="MDSR"/>
        <w:spacing w:line="276" w:lineRule="auto"/>
        <w:ind w:left="1276" w:firstLine="0"/>
        <w:rPr>
          <w:rFonts w:ascii="Verdana" w:hAnsi="Verdana"/>
          <w:sz w:val="18"/>
          <w:szCs w:val="18"/>
        </w:rPr>
      </w:pPr>
      <w:r w:rsidRPr="007B159A">
        <w:rPr>
          <w:rFonts w:ascii="Verdana" w:hAnsi="Verdana"/>
          <w:sz w:val="18"/>
          <w:szCs w:val="18"/>
        </w:rPr>
        <w:t xml:space="preserve">S ohledem na skutečnost, že </w:t>
      </w:r>
      <w:r w:rsidR="009C1EB0">
        <w:rPr>
          <w:rFonts w:ascii="Verdana" w:hAnsi="Verdana"/>
          <w:sz w:val="18"/>
          <w:szCs w:val="18"/>
        </w:rPr>
        <w:t>z</w:t>
      </w:r>
      <w:r w:rsidRPr="007B159A">
        <w:rPr>
          <w:rFonts w:ascii="Verdana" w:hAnsi="Verdana"/>
          <w:sz w:val="18"/>
          <w:szCs w:val="18"/>
        </w:rPr>
        <w:t xml:space="preserve">adavatel si v zadávacích podmínkách vyhrazuje možnost použití jednacího řízení bez uveřejnění dle § 100 odst. 3 ZZVZ a dále si vyhrazuje možnou změnu závazku dle § 100 odst. 1 ZZVZ, stanovuje </w:t>
      </w:r>
      <w:r w:rsidR="009C1EB0">
        <w:rPr>
          <w:rFonts w:ascii="Verdana" w:hAnsi="Verdana"/>
          <w:sz w:val="18"/>
          <w:szCs w:val="18"/>
        </w:rPr>
        <w:t>z</w:t>
      </w:r>
      <w:r w:rsidRPr="007B159A">
        <w:rPr>
          <w:rFonts w:ascii="Verdana" w:hAnsi="Verdana"/>
          <w:sz w:val="18"/>
          <w:szCs w:val="18"/>
        </w:rPr>
        <w:t xml:space="preserve">adavatel předpokládanou hodnotu veřejné zakázky dle § 16 odst. 3 ZZVZ následovně: </w:t>
      </w:r>
    </w:p>
    <w:p w14:paraId="0E63B8B8" w14:textId="1136B292" w:rsidR="007B159A" w:rsidRPr="007B159A" w:rsidRDefault="007B159A" w:rsidP="007E2395">
      <w:pPr>
        <w:pStyle w:val="MDSR"/>
        <w:spacing w:line="276" w:lineRule="auto"/>
        <w:ind w:left="1276" w:firstLine="0"/>
        <w:rPr>
          <w:rFonts w:ascii="Verdana" w:hAnsi="Verdana"/>
          <w:sz w:val="18"/>
          <w:szCs w:val="18"/>
        </w:rPr>
      </w:pPr>
      <w:r w:rsidRPr="007B159A">
        <w:rPr>
          <w:rFonts w:ascii="Verdana" w:hAnsi="Verdana"/>
          <w:sz w:val="18"/>
          <w:szCs w:val="18"/>
        </w:rPr>
        <w:t>Předpokládaná hodnota veřejné zakázky zahrnující rovněž předpokládanou hodnotu všech veřejných zakázek na služby požadovan</w:t>
      </w:r>
      <w:r w:rsidR="00362462">
        <w:rPr>
          <w:rFonts w:ascii="Verdana" w:hAnsi="Verdana"/>
          <w:sz w:val="18"/>
          <w:szCs w:val="18"/>
        </w:rPr>
        <w:t>ých</w:t>
      </w:r>
      <w:r w:rsidRPr="007B159A">
        <w:rPr>
          <w:rFonts w:ascii="Verdana" w:hAnsi="Verdana"/>
          <w:sz w:val="18"/>
          <w:szCs w:val="18"/>
        </w:rPr>
        <w:t xml:space="preserve"> zadavatelem při využití vyhrazené změny závazku dle § 100 odst. 1 a odst. 3 ZZVZ je </w:t>
      </w:r>
      <w:r w:rsidRPr="00F82C9D">
        <w:rPr>
          <w:rFonts w:ascii="Verdana" w:hAnsi="Verdana"/>
          <w:b/>
          <w:bCs/>
          <w:sz w:val="18"/>
          <w:szCs w:val="18"/>
        </w:rPr>
        <w:t>80 000 000 Kč bez DPH</w:t>
      </w:r>
      <w:r w:rsidRPr="007B159A">
        <w:rPr>
          <w:rFonts w:ascii="Verdana" w:hAnsi="Verdana"/>
          <w:sz w:val="18"/>
          <w:szCs w:val="18"/>
        </w:rPr>
        <w:t xml:space="preserve"> (tj. 96 800 000 Kč, vč. DPH ve výši 21 %), přičemž</w:t>
      </w:r>
      <w:r w:rsidR="00F82C9D">
        <w:rPr>
          <w:rFonts w:ascii="Verdana" w:hAnsi="Verdana"/>
          <w:sz w:val="18"/>
          <w:szCs w:val="18"/>
        </w:rPr>
        <w:t>:</w:t>
      </w:r>
      <w:r w:rsidRPr="007B159A">
        <w:rPr>
          <w:rFonts w:ascii="Verdana" w:hAnsi="Verdana"/>
          <w:sz w:val="18"/>
          <w:szCs w:val="18"/>
        </w:rPr>
        <w:t xml:space="preserve"> </w:t>
      </w:r>
    </w:p>
    <w:p w14:paraId="645069CE" w14:textId="1C5EC232" w:rsidR="007B159A" w:rsidRPr="007B159A" w:rsidRDefault="007B159A" w:rsidP="007E2395">
      <w:pPr>
        <w:pStyle w:val="MDSR"/>
        <w:numPr>
          <w:ilvl w:val="0"/>
          <w:numId w:val="14"/>
        </w:numPr>
        <w:spacing w:line="276" w:lineRule="auto"/>
        <w:ind w:left="1701" w:hanging="426"/>
        <w:rPr>
          <w:rFonts w:ascii="Verdana" w:hAnsi="Verdana"/>
          <w:sz w:val="18"/>
          <w:szCs w:val="18"/>
        </w:rPr>
      </w:pPr>
      <w:r w:rsidRPr="007B159A">
        <w:rPr>
          <w:rFonts w:ascii="Verdana" w:hAnsi="Verdana"/>
          <w:sz w:val="18"/>
          <w:szCs w:val="18"/>
        </w:rPr>
        <w:t xml:space="preserve">zvlášť stanovená </w:t>
      </w:r>
      <w:r w:rsidRPr="00D01517">
        <w:rPr>
          <w:rFonts w:ascii="Verdana" w:hAnsi="Verdana"/>
          <w:b/>
          <w:bCs/>
          <w:sz w:val="18"/>
          <w:szCs w:val="18"/>
        </w:rPr>
        <w:t>předpokládaná hodnota veřejné zakázky na služby bez tzv. opčního práva</w:t>
      </w:r>
      <w:r w:rsidRPr="007B159A">
        <w:rPr>
          <w:rFonts w:ascii="Verdana" w:hAnsi="Verdana"/>
          <w:sz w:val="18"/>
          <w:szCs w:val="18"/>
        </w:rPr>
        <w:t xml:space="preserve"> činí </w:t>
      </w:r>
      <w:r w:rsidRPr="00D01517">
        <w:rPr>
          <w:rFonts w:ascii="Verdana" w:hAnsi="Verdana"/>
          <w:b/>
          <w:bCs/>
          <w:sz w:val="18"/>
          <w:szCs w:val="18"/>
        </w:rPr>
        <w:t>6</w:t>
      </w:r>
      <w:r w:rsidR="007E75B9">
        <w:rPr>
          <w:rFonts w:ascii="Verdana" w:hAnsi="Verdana"/>
          <w:b/>
          <w:bCs/>
          <w:sz w:val="18"/>
          <w:szCs w:val="18"/>
        </w:rPr>
        <w:t>2</w:t>
      </w:r>
      <w:r w:rsidRPr="00D01517">
        <w:rPr>
          <w:rFonts w:ascii="Verdana" w:hAnsi="Verdana"/>
          <w:b/>
          <w:bCs/>
          <w:sz w:val="18"/>
          <w:szCs w:val="18"/>
        </w:rPr>
        <w:t> 000 000 Kč bez DPH</w:t>
      </w:r>
      <w:r w:rsidRPr="007B159A">
        <w:rPr>
          <w:rFonts w:ascii="Verdana" w:hAnsi="Verdana"/>
          <w:sz w:val="18"/>
          <w:szCs w:val="18"/>
        </w:rPr>
        <w:t xml:space="preserve"> (tj. 7</w:t>
      </w:r>
      <w:r w:rsidR="007E75B9">
        <w:rPr>
          <w:rFonts w:ascii="Verdana" w:hAnsi="Verdana"/>
          <w:sz w:val="18"/>
          <w:szCs w:val="18"/>
        </w:rPr>
        <w:t>5</w:t>
      </w:r>
      <w:r w:rsidRPr="007B159A">
        <w:rPr>
          <w:rFonts w:ascii="Verdana" w:hAnsi="Verdana"/>
          <w:sz w:val="18"/>
          <w:szCs w:val="18"/>
        </w:rPr>
        <w:t> </w:t>
      </w:r>
      <w:r w:rsidR="007E75B9">
        <w:rPr>
          <w:rFonts w:ascii="Verdana" w:hAnsi="Verdana"/>
          <w:sz w:val="18"/>
          <w:szCs w:val="18"/>
        </w:rPr>
        <w:t>020</w:t>
      </w:r>
      <w:r w:rsidRPr="007B159A">
        <w:rPr>
          <w:rFonts w:ascii="Verdana" w:hAnsi="Verdana"/>
          <w:sz w:val="18"/>
          <w:szCs w:val="18"/>
        </w:rPr>
        <w:t> 000 Kč, vč. DPH ve výši 21 %) a</w:t>
      </w:r>
    </w:p>
    <w:p w14:paraId="7F6DCD94" w14:textId="7F1075E2" w:rsidR="0071208C" w:rsidRDefault="007B159A" w:rsidP="007E2395">
      <w:pPr>
        <w:pStyle w:val="MDSR"/>
        <w:numPr>
          <w:ilvl w:val="0"/>
          <w:numId w:val="14"/>
        </w:numPr>
        <w:spacing w:line="276" w:lineRule="auto"/>
        <w:ind w:left="1701" w:hanging="426"/>
        <w:rPr>
          <w:rFonts w:ascii="Verdana" w:hAnsi="Verdana"/>
          <w:sz w:val="18"/>
          <w:szCs w:val="18"/>
        </w:rPr>
      </w:pPr>
      <w:r w:rsidRPr="00D01517">
        <w:rPr>
          <w:rFonts w:ascii="Verdana" w:hAnsi="Verdana"/>
          <w:b/>
          <w:bCs/>
          <w:sz w:val="18"/>
          <w:szCs w:val="18"/>
        </w:rPr>
        <w:t>předpokládaná hodnota nových služeb při využití vyhrazené změny závazku</w:t>
      </w:r>
      <w:r w:rsidRPr="007B159A">
        <w:rPr>
          <w:rFonts w:ascii="Verdana" w:hAnsi="Verdana"/>
          <w:sz w:val="18"/>
          <w:szCs w:val="18"/>
        </w:rPr>
        <w:t xml:space="preserve"> (tj. předpokládaná hodnota tzv. opčního práva) činí </w:t>
      </w:r>
      <w:r w:rsidR="007E75B9">
        <w:rPr>
          <w:rFonts w:ascii="Verdana" w:hAnsi="Verdana"/>
          <w:b/>
          <w:bCs/>
          <w:sz w:val="18"/>
          <w:szCs w:val="18"/>
        </w:rPr>
        <w:t>18</w:t>
      </w:r>
      <w:r w:rsidRPr="00D01517">
        <w:rPr>
          <w:rFonts w:ascii="Verdana" w:hAnsi="Verdana"/>
          <w:b/>
          <w:bCs/>
          <w:sz w:val="18"/>
          <w:szCs w:val="18"/>
        </w:rPr>
        <w:t> 000 000 Kč bez DPH</w:t>
      </w:r>
      <w:r w:rsidRPr="007B159A">
        <w:rPr>
          <w:rFonts w:ascii="Verdana" w:hAnsi="Verdana"/>
          <w:sz w:val="18"/>
          <w:szCs w:val="18"/>
        </w:rPr>
        <w:t xml:space="preserve"> (tj. 2</w:t>
      </w:r>
      <w:r w:rsidR="001323AB">
        <w:rPr>
          <w:rFonts w:ascii="Verdana" w:hAnsi="Verdana"/>
          <w:sz w:val="18"/>
          <w:szCs w:val="18"/>
        </w:rPr>
        <w:t>1</w:t>
      </w:r>
      <w:r w:rsidRPr="007B159A">
        <w:rPr>
          <w:rFonts w:ascii="Verdana" w:hAnsi="Verdana"/>
          <w:sz w:val="18"/>
          <w:szCs w:val="18"/>
        </w:rPr>
        <w:t> </w:t>
      </w:r>
      <w:r w:rsidR="001323AB">
        <w:rPr>
          <w:rFonts w:ascii="Verdana" w:hAnsi="Verdana"/>
          <w:sz w:val="18"/>
          <w:szCs w:val="18"/>
        </w:rPr>
        <w:t>780</w:t>
      </w:r>
      <w:r w:rsidRPr="007B159A">
        <w:rPr>
          <w:rFonts w:ascii="Verdana" w:hAnsi="Verdana"/>
          <w:sz w:val="18"/>
          <w:szCs w:val="18"/>
        </w:rPr>
        <w:t xml:space="preserve"> 000 Kč, vč. DPH ve výši 21 %)</w:t>
      </w:r>
      <w:r w:rsidR="00E03E1C">
        <w:rPr>
          <w:rFonts w:ascii="Verdana" w:hAnsi="Verdana"/>
          <w:sz w:val="18"/>
          <w:szCs w:val="18"/>
        </w:rPr>
        <w:t>.</w:t>
      </w:r>
    </w:p>
    <w:p w14:paraId="40C3C9FA" w14:textId="5700835D" w:rsidR="007C6DD6" w:rsidRPr="007544EA" w:rsidRDefault="00A820DC" w:rsidP="007544EA">
      <w:pPr>
        <w:pStyle w:val="MDSR"/>
        <w:spacing w:line="276" w:lineRule="auto"/>
        <w:ind w:left="1276" w:firstLine="0"/>
        <w:rPr>
          <w:rFonts w:ascii="Verdana" w:hAnsi="Verdana"/>
          <w:sz w:val="18"/>
          <w:szCs w:val="18"/>
        </w:rPr>
      </w:pPr>
      <w:r w:rsidRPr="00A820DC">
        <w:rPr>
          <w:rFonts w:ascii="Verdana" w:hAnsi="Verdana"/>
          <w:sz w:val="18"/>
          <w:szCs w:val="18"/>
        </w:rPr>
        <w:t>Zadavatel uvádí, že ve</w:t>
      </w:r>
      <w:r>
        <w:rPr>
          <w:rFonts w:ascii="Verdana" w:hAnsi="Verdana"/>
          <w:sz w:val="18"/>
          <w:szCs w:val="18"/>
        </w:rPr>
        <w:t xml:space="preserve">řejná zakázka je </w:t>
      </w:r>
      <w:r w:rsidRPr="00A820DC">
        <w:rPr>
          <w:rFonts w:ascii="Verdana" w:hAnsi="Verdana"/>
          <w:sz w:val="18"/>
          <w:szCs w:val="18"/>
        </w:rPr>
        <w:t>financována z prostředků SFDI</w:t>
      </w:r>
      <w:r>
        <w:rPr>
          <w:rFonts w:ascii="Verdana" w:hAnsi="Verdana"/>
          <w:sz w:val="18"/>
          <w:szCs w:val="18"/>
        </w:rPr>
        <w:t xml:space="preserve">, </w:t>
      </w:r>
      <w:r w:rsidRPr="00A820DC">
        <w:rPr>
          <w:rFonts w:ascii="Verdana" w:hAnsi="Verdana"/>
          <w:sz w:val="18"/>
          <w:szCs w:val="18"/>
        </w:rPr>
        <w:t xml:space="preserve">ISPROFOND: </w:t>
      </w:r>
      <w:r w:rsidR="00C872BA">
        <w:rPr>
          <w:rFonts w:ascii="Verdana" w:hAnsi="Verdana"/>
          <w:sz w:val="18"/>
          <w:szCs w:val="18"/>
        </w:rPr>
        <w:t>3273214901/5003710002</w:t>
      </w:r>
      <w:r>
        <w:rPr>
          <w:rFonts w:ascii="Verdana" w:hAnsi="Verdana"/>
          <w:sz w:val="18"/>
          <w:szCs w:val="18"/>
        </w:rPr>
        <w:t>.</w:t>
      </w:r>
    </w:p>
    <w:p w14:paraId="237C4FA7" w14:textId="2EB8EB54" w:rsidR="00E016CE" w:rsidRPr="001549EC" w:rsidRDefault="0071208C" w:rsidP="00725912">
      <w:pPr>
        <w:pStyle w:val="Nadpis1"/>
        <w:keepNext w:val="0"/>
        <w:keepLines w:val="0"/>
      </w:pPr>
      <w:r w:rsidRPr="0071208C">
        <w:t>Specifikace předmětu plnění</w:t>
      </w:r>
    </w:p>
    <w:p w14:paraId="3D3FBEBB" w14:textId="07988CDB" w:rsidR="00656733" w:rsidRDefault="00656733" w:rsidP="009A442F">
      <w:pPr>
        <w:pStyle w:val="Nadpis2"/>
        <w:spacing w:after="120"/>
        <w:rPr>
          <w:u w:val="single"/>
          <w:lang w:eastAsia="cs-CZ"/>
        </w:rPr>
      </w:pPr>
      <w:r>
        <w:rPr>
          <w:u w:val="single"/>
          <w:lang w:eastAsia="cs-CZ"/>
        </w:rPr>
        <w:t>M</w:t>
      </w:r>
      <w:r w:rsidRPr="00656733">
        <w:rPr>
          <w:u w:val="single"/>
          <w:lang w:eastAsia="cs-CZ"/>
        </w:rPr>
        <w:t>anagement</w:t>
      </w:r>
      <w:r>
        <w:rPr>
          <w:u w:val="single"/>
          <w:lang w:eastAsia="cs-CZ"/>
        </w:rPr>
        <w:t xml:space="preserve"> plnění veřejné zakázky</w:t>
      </w:r>
    </w:p>
    <w:p w14:paraId="02F23040" w14:textId="356D2B01" w:rsidR="002D7001" w:rsidRDefault="00656733" w:rsidP="002D7001">
      <w:pPr>
        <w:spacing w:before="0"/>
        <w:ind w:left="1701" w:hanging="425"/>
        <w:jc w:val="both"/>
        <w:rPr>
          <w:lang w:eastAsia="cs-CZ"/>
        </w:rPr>
      </w:pPr>
      <w:r w:rsidRPr="00656733">
        <w:rPr>
          <w:lang w:eastAsia="cs-CZ"/>
        </w:rPr>
        <w:t>•</w:t>
      </w:r>
      <w:r w:rsidRPr="00656733">
        <w:rPr>
          <w:lang w:eastAsia="cs-CZ"/>
        </w:rPr>
        <w:tab/>
        <w:t>Vypracování</w:t>
      </w:r>
      <w:r>
        <w:rPr>
          <w:lang w:eastAsia="cs-CZ"/>
        </w:rPr>
        <w:t xml:space="preserve"> </w:t>
      </w:r>
      <w:r w:rsidR="00E30045">
        <w:rPr>
          <w:lang w:eastAsia="cs-CZ"/>
        </w:rPr>
        <w:t xml:space="preserve">a průběžná aktualizace </w:t>
      </w:r>
      <w:r>
        <w:rPr>
          <w:lang w:eastAsia="cs-CZ"/>
        </w:rPr>
        <w:t xml:space="preserve">strukturovaného plánu plnění předmětu této veřejné zakázky zahrnující postupy k plnění předmětu této veřejné zakázky, plán a míra zapojení jednotlivých poradců v průběhu plnění této veřejné zakázky, posouzení vytíženosti </w:t>
      </w:r>
      <w:r w:rsidRPr="00656733">
        <w:rPr>
          <w:lang w:eastAsia="cs-CZ"/>
        </w:rPr>
        <w:t>jednotlivých poradců</w:t>
      </w:r>
      <w:r>
        <w:rPr>
          <w:lang w:eastAsia="cs-CZ"/>
        </w:rPr>
        <w:t xml:space="preserve"> a rozdělení konkrétních úkolů mezi jednotlivé poradce</w:t>
      </w:r>
      <w:r w:rsidR="002D7001">
        <w:rPr>
          <w:lang w:eastAsia="cs-CZ"/>
        </w:rPr>
        <w:t>, a to včetně konkretizovaného harmonogramu plnění předmětu této veřejné zakázky.</w:t>
      </w:r>
    </w:p>
    <w:p w14:paraId="0662A336" w14:textId="16FD092D" w:rsidR="002D7001" w:rsidRDefault="002D7001" w:rsidP="002D7001">
      <w:pPr>
        <w:pStyle w:val="Odstavecseseznamem"/>
        <w:numPr>
          <w:ilvl w:val="0"/>
          <w:numId w:val="36"/>
        </w:numPr>
        <w:spacing w:before="0"/>
        <w:ind w:left="1701" w:hanging="425"/>
        <w:contextualSpacing w:val="0"/>
        <w:jc w:val="both"/>
        <w:rPr>
          <w:lang w:eastAsia="cs-CZ"/>
        </w:rPr>
      </w:pPr>
      <w:r w:rsidRPr="002D7001">
        <w:rPr>
          <w:lang w:eastAsia="cs-CZ"/>
        </w:rPr>
        <w:t>Zabezpečení</w:t>
      </w:r>
      <w:r>
        <w:rPr>
          <w:lang w:eastAsia="cs-CZ"/>
        </w:rPr>
        <w:t xml:space="preserve"> vypracování rozhodovacího řetězce a rozdělení klíčových odpovědností mezi jednotlivé poradce a mezi zadavatele. Tímto není dotčena skutečnost, že dodavatel není oprávněn přenášet odpovědnost za plnění předmětu veřejné zakázky na zadavatele.</w:t>
      </w:r>
    </w:p>
    <w:p w14:paraId="239217F3" w14:textId="6247D56F" w:rsidR="00897C77" w:rsidRDefault="00897C77" w:rsidP="002D7001">
      <w:pPr>
        <w:pStyle w:val="Odstavecseseznamem"/>
        <w:numPr>
          <w:ilvl w:val="0"/>
          <w:numId w:val="36"/>
        </w:numPr>
        <w:spacing w:before="0"/>
        <w:ind w:left="1701" w:hanging="425"/>
        <w:contextualSpacing w:val="0"/>
        <w:jc w:val="both"/>
        <w:rPr>
          <w:lang w:eastAsia="cs-CZ"/>
        </w:rPr>
      </w:pPr>
      <w:r>
        <w:rPr>
          <w:lang w:eastAsia="cs-CZ"/>
        </w:rPr>
        <w:t xml:space="preserve">Koordinace plnění předmětu této veřejné zakázky a koordinace </w:t>
      </w:r>
      <w:r w:rsidRPr="00897C77">
        <w:rPr>
          <w:lang w:eastAsia="cs-CZ"/>
        </w:rPr>
        <w:t>jednotlivých poradců</w:t>
      </w:r>
      <w:r w:rsidR="00C57BBA">
        <w:rPr>
          <w:lang w:eastAsia="cs-CZ"/>
        </w:rPr>
        <w:t>.</w:t>
      </w:r>
    </w:p>
    <w:p w14:paraId="1FE2D2E6" w14:textId="0F879806" w:rsidR="00F21C1F" w:rsidRDefault="00F21C1F" w:rsidP="002D7001">
      <w:pPr>
        <w:pStyle w:val="Odstavecseseznamem"/>
        <w:numPr>
          <w:ilvl w:val="0"/>
          <w:numId w:val="36"/>
        </w:numPr>
        <w:spacing w:before="0"/>
        <w:ind w:left="1701" w:hanging="425"/>
        <w:contextualSpacing w:val="0"/>
        <w:jc w:val="both"/>
        <w:rPr>
          <w:lang w:eastAsia="cs-CZ"/>
        </w:rPr>
      </w:pPr>
      <w:r w:rsidRPr="00656733">
        <w:rPr>
          <w:lang w:eastAsia="cs-CZ"/>
        </w:rPr>
        <w:t>Vypracování</w:t>
      </w:r>
      <w:r>
        <w:rPr>
          <w:lang w:eastAsia="cs-CZ"/>
        </w:rPr>
        <w:t xml:space="preserve"> a zavedení systému ukládání a správy dokumentů v průběhu realizace předmětu </w:t>
      </w:r>
      <w:r w:rsidRPr="00F21C1F">
        <w:rPr>
          <w:lang w:eastAsia="cs-CZ"/>
        </w:rPr>
        <w:t>plnění této veřejné zakázky</w:t>
      </w:r>
      <w:r>
        <w:rPr>
          <w:lang w:eastAsia="cs-CZ"/>
        </w:rPr>
        <w:t>.</w:t>
      </w:r>
    </w:p>
    <w:p w14:paraId="6B16AB77" w14:textId="2F22ACE8" w:rsidR="006A1584" w:rsidRDefault="006A1584" w:rsidP="002D7001">
      <w:pPr>
        <w:pStyle w:val="Odstavecseseznamem"/>
        <w:numPr>
          <w:ilvl w:val="0"/>
          <w:numId w:val="36"/>
        </w:numPr>
        <w:spacing w:before="0"/>
        <w:ind w:left="1701" w:hanging="425"/>
        <w:contextualSpacing w:val="0"/>
        <w:jc w:val="both"/>
        <w:rPr>
          <w:lang w:eastAsia="cs-CZ"/>
        </w:rPr>
      </w:pPr>
      <w:r w:rsidRPr="006A1584">
        <w:rPr>
          <w:lang w:eastAsia="cs-CZ"/>
        </w:rPr>
        <w:t>Zabezpečení identifikace rizik</w:t>
      </w:r>
      <w:r>
        <w:rPr>
          <w:lang w:eastAsia="cs-CZ"/>
        </w:rPr>
        <w:t xml:space="preserve"> a vyhodnocení závěrů ze </w:t>
      </w:r>
      <w:r w:rsidRPr="006A1584">
        <w:rPr>
          <w:lang w:eastAsia="cs-CZ"/>
        </w:rPr>
        <w:t>Studie proveditelnosti PPP Projekt Nemanice – Ševětín</w:t>
      </w:r>
      <w:r>
        <w:rPr>
          <w:lang w:eastAsia="cs-CZ"/>
        </w:rPr>
        <w:t xml:space="preserve">, která tvoří </w:t>
      </w:r>
      <w:r w:rsidRPr="003A640C">
        <w:rPr>
          <w:lang w:eastAsia="cs-CZ"/>
        </w:rPr>
        <w:t>přílohu č. 10</w:t>
      </w:r>
      <w:r>
        <w:rPr>
          <w:lang w:eastAsia="cs-CZ"/>
        </w:rPr>
        <w:t xml:space="preserve"> této zadávací dokumentace</w:t>
      </w:r>
      <w:r w:rsidR="00DE056D">
        <w:rPr>
          <w:lang w:eastAsia="cs-CZ"/>
        </w:rPr>
        <w:t xml:space="preserve"> a návrh případných úprav.</w:t>
      </w:r>
    </w:p>
    <w:p w14:paraId="2AD0D0CE" w14:textId="6D016F45" w:rsidR="00F21C1F" w:rsidRDefault="002D7001" w:rsidP="002D7001">
      <w:pPr>
        <w:pStyle w:val="Odstavecseseznamem"/>
        <w:numPr>
          <w:ilvl w:val="0"/>
          <w:numId w:val="36"/>
        </w:numPr>
        <w:spacing w:before="0"/>
        <w:ind w:left="1701" w:hanging="425"/>
        <w:contextualSpacing w:val="0"/>
        <w:jc w:val="both"/>
        <w:rPr>
          <w:lang w:eastAsia="cs-CZ"/>
        </w:rPr>
      </w:pPr>
      <w:r>
        <w:rPr>
          <w:lang w:eastAsia="cs-CZ"/>
        </w:rPr>
        <w:t>Zabezpečení identifikace a monitorování rizik v průběhu plnění předmětu této veřejné zakázky a zabezpečení identifikace rizik v souvislosti s Projektem.</w:t>
      </w:r>
    </w:p>
    <w:p w14:paraId="46042343" w14:textId="6FF389FC" w:rsidR="00656733" w:rsidRDefault="002D7001" w:rsidP="006A1584">
      <w:pPr>
        <w:pStyle w:val="Odstavecseseznamem"/>
        <w:numPr>
          <w:ilvl w:val="0"/>
          <w:numId w:val="36"/>
        </w:numPr>
        <w:spacing w:before="0"/>
        <w:ind w:left="1701" w:hanging="425"/>
        <w:contextualSpacing w:val="0"/>
        <w:jc w:val="both"/>
        <w:rPr>
          <w:lang w:eastAsia="cs-CZ"/>
        </w:rPr>
      </w:pPr>
      <w:r>
        <w:rPr>
          <w:lang w:eastAsia="cs-CZ"/>
        </w:rPr>
        <w:lastRenderedPageBreak/>
        <w:t>Porovnání organizačních, časových, finančních a jiných dopadů na poradce a na zadavatele při různých variantách vedení zadávacího řízení na výběr koncesionáře pro Projekt.</w:t>
      </w:r>
    </w:p>
    <w:p w14:paraId="76C95889" w14:textId="6504C63B" w:rsidR="00C57BBA" w:rsidRPr="00656733" w:rsidRDefault="00A17FB5" w:rsidP="006A1584">
      <w:pPr>
        <w:pStyle w:val="Odstavecseseznamem"/>
        <w:numPr>
          <w:ilvl w:val="0"/>
          <w:numId w:val="36"/>
        </w:numPr>
        <w:spacing w:before="0"/>
        <w:ind w:left="1701" w:hanging="425"/>
        <w:contextualSpacing w:val="0"/>
        <w:jc w:val="both"/>
        <w:rPr>
          <w:lang w:eastAsia="cs-CZ"/>
        </w:rPr>
      </w:pPr>
      <w:r>
        <w:rPr>
          <w:lang w:eastAsia="cs-CZ"/>
        </w:rPr>
        <w:t>M</w:t>
      </w:r>
      <w:r w:rsidR="00C57BBA" w:rsidRPr="00C57BBA">
        <w:rPr>
          <w:lang w:eastAsia="cs-CZ"/>
        </w:rPr>
        <w:t>anagement plnění veřejné zakázky</w:t>
      </w:r>
      <w:r w:rsidR="00C57BBA">
        <w:rPr>
          <w:lang w:eastAsia="cs-CZ"/>
        </w:rPr>
        <w:t xml:space="preserve"> zajistí jeden z členů týmu L1, F1 nebo T1</w:t>
      </w:r>
      <w:r>
        <w:rPr>
          <w:lang w:eastAsia="cs-CZ"/>
        </w:rPr>
        <w:t>.</w:t>
      </w:r>
      <w:r w:rsidR="008F6B2C">
        <w:rPr>
          <w:lang w:eastAsia="cs-CZ"/>
        </w:rPr>
        <w:t xml:space="preserve"> Zadavatel s ohledem na osvědčenou zahraniční praxi doporučuje, aby m</w:t>
      </w:r>
      <w:r w:rsidR="008F6B2C" w:rsidRPr="008F6B2C">
        <w:rPr>
          <w:lang w:eastAsia="cs-CZ"/>
        </w:rPr>
        <w:t>anagement plnění veřejné zakázky</w:t>
      </w:r>
      <w:r w:rsidR="008F6B2C">
        <w:rPr>
          <w:lang w:eastAsia="cs-CZ"/>
        </w:rPr>
        <w:t xml:space="preserve"> zajistil člen týmu F1.</w:t>
      </w:r>
    </w:p>
    <w:p w14:paraId="7D9E9F38" w14:textId="3CD11C84" w:rsidR="009F5DA8" w:rsidRPr="007F488B" w:rsidRDefault="009F5DA8" w:rsidP="009A442F">
      <w:pPr>
        <w:pStyle w:val="Nadpis2"/>
        <w:spacing w:after="120"/>
        <w:rPr>
          <w:u w:val="single"/>
          <w:lang w:eastAsia="cs-CZ"/>
        </w:rPr>
      </w:pPr>
      <w:r w:rsidRPr="007F488B">
        <w:rPr>
          <w:u w:val="single"/>
          <w:lang w:eastAsia="cs-CZ"/>
        </w:rPr>
        <w:t>Právní poradenství</w:t>
      </w:r>
    </w:p>
    <w:p w14:paraId="494F20BA" w14:textId="77777777"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bookmarkStart w:id="3" w:name="_Hlk146616745"/>
      <w:r w:rsidRPr="009F5DA8">
        <w:rPr>
          <w:rFonts w:eastAsia="Calibri" w:cs="Times New Roman"/>
          <w:color w:val="000000"/>
          <w:szCs w:val="18"/>
          <w14:ligatures w14:val="standardContextual"/>
        </w:rPr>
        <w:t>Vypracování veškerých právních částí kvalifikační a soutěžní dokumentace, vč. smluvní dokumentace, pro možnost zahájení zadávacího řízení, jeho zdárný průběh a úspěšné ukončení, vč. smluvní části zajišťované při finančním uzavření Projektu.</w:t>
      </w:r>
      <w:bookmarkEnd w:id="3"/>
      <w:r w:rsidRPr="009F5DA8">
        <w:rPr>
          <w:rFonts w:eastAsia="Calibri" w:cs="Times New Roman"/>
          <w:color w:val="000000"/>
          <w:szCs w:val="18"/>
          <w14:ligatures w14:val="standardContextual"/>
        </w:rPr>
        <w:t xml:space="preserve"> </w:t>
      </w:r>
    </w:p>
    <w:p w14:paraId="7BA7634C" w14:textId="77777777"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právních konzultací pro zadavatele v souvislosti s přípravou a samotným průběhem zadávacího řízení pro Projekt. </w:t>
      </w:r>
    </w:p>
    <w:p w14:paraId="5F9951BE" w14:textId="5DD9ADC3"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Vypracování, případně připomínkování, podkladů, stanovisek, návrhů, odpovědí, vč. vysvětlení zadávací dokumentace a smluv podle aktuálních požadavků zadavatele v souvislosti s přípravou a samotným průběhem zadávacího řízení pro Projekt z právního hlediska. </w:t>
      </w:r>
    </w:p>
    <w:p w14:paraId="17E1DF09" w14:textId="77777777"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Zabezpečení účasti kvalifikovaných expertů poskytujících právní poradenství před a v průběhu zadávacího řízení pro Projekt podle potřeb zadavatele. </w:t>
      </w:r>
    </w:p>
    <w:p w14:paraId="4F361D28" w14:textId="77777777"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právního poradenství při řešení majetkoprávních záležitostí při přípravě Projektu. </w:t>
      </w:r>
    </w:p>
    <w:p w14:paraId="6A096CE8" w14:textId="77777777"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Zastupování zadavatele v případných soudních sporech či řízeních vedených Úřadem pro ochranu hospodářské soutěže v souvislosti s Projektem.</w:t>
      </w:r>
    </w:p>
    <w:p w14:paraId="06A3F745" w14:textId="77777777"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dalších právních služeb a právní podpory pro zadavatele, vypracování právních stanovisek a dalších souvisejících písemností a aktivní účast při řešení jakýchkoliv právních záležitostí v souvislosti s přípravou a realizací Projektu. </w:t>
      </w:r>
    </w:p>
    <w:p w14:paraId="5B51D6A0" w14:textId="146C6DC8" w:rsidR="009F5DA8" w:rsidRPr="009F5DA8" w:rsidRDefault="009F5DA8" w:rsidP="007E2395">
      <w:pPr>
        <w:widowControl w:val="0"/>
        <w:numPr>
          <w:ilvl w:val="0"/>
          <w:numId w:val="15"/>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Poskytování právního poradenství ve vztahu k implementaci metody BIM; vypracování podkladů, návrhů a řešení pro efektivní využití BIM zúčastněnými stranami projektu PPP Nemanice – Ševětín, přípravu dokumentace a podkladů s ohledem na implementaci BIM</w:t>
      </w:r>
      <w:r w:rsidR="00086F25">
        <w:rPr>
          <w:rFonts w:eastAsia="Calibri" w:cs="Times New Roman"/>
          <w:color w:val="000000"/>
          <w:szCs w:val="18"/>
          <w14:ligatures w14:val="standardContextual"/>
        </w:rPr>
        <w:t>;</w:t>
      </w:r>
      <w:r w:rsidRPr="009F5DA8">
        <w:rPr>
          <w:rFonts w:eastAsia="Calibri" w:cs="Times New Roman"/>
          <w:color w:val="000000"/>
          <w:szCs w:val="18"/>
          <w14:ligatures w14:val="standardContextual"/>
        </w:rPr>
        <w:t xml:space="preserve"> </w:t>
      </w:r>
      <w:r w:rsidR="00086F25">
        <w:rPr>
          <w:rFonts w:eastAsia="Calibri" w:cs="Times New Roman"/>
          <w:color w:val="000000"/>
          <w:szCs w:val="18"/>
          <w14:ligatures w14:val="standardContextual"/>
        </w:rPr>
        <w:t xml:space="preserve">vypracování </w:t>
      </w:r>
      <w:r w:rsidRPr="009F5DA8">
        <w:rPr>
          <w:rFonts w:eastAsia="Calibri" w:cs="Times New Roman"/>
          <w:color w:val="000000"/>
          <w:szCs w:val="18"/>
          <w14:ligatures w14:val="standardContextual"/>
        </w:rPr>
        <w:t xml:space="preserve">návrhů na vytvoření (1) společného datového prostředí, angl. </w:t>
      </w:r>
      <w:proofErr w:type="spellStart"/>
      <w:r w:rsidRPr="009F5DA8">
        <w:rPr>
          <w:rFonts w:eastAsia="Calibri" w:cs="Times New Roman"/>
          <w:i/>
          <w:iCs/>
          <w:color w:val="000000"/>
          <w:szCs w:val="18"/>
          <w14:ligatures w14:val="standardContextual"/>
        </w:rPr>
        <w:t>Common</w:t>
      </w:r>
      <w:proofErr w:type="spellEnd"/>
      <w:r w:rsidRPr="009F5DA8">
        <w:rPr>
          <w:rFonts w:eastAsia="Calibri" w:cs="Times New Roman"/>
          <w:i/>
          <w:iCs/>
          <w:color w:val="000000"/>
          <w:szCs w:val="18"/>
          <w14:ligatures w14:val="standardContextual"/>
        </w:rPr>
        <w:t xml:space="preserve"> Data Environment </w:t>
      </w:r>
      <w:r w:rsidRPr="009F5DA8">
        <w:rPr>
          <w:rFonts w:eastAsia="Calibri" w:cs="Times New Roman"/>
          <w:color w:val="000000"/>
          <w:szCs w:val="18"/>
          <w14:ligatures w14:val="standardContextual"/>
        </w:rPr>
        <w:t>(„</w:t>
      </w:r>
      <w:r w:rsidRPr="009F5DA8">
        <w:rPr>
          <w:rFonts w:eastAsia="Calibri" w:cs="Times New Roman"/>
          <w:b/>
          <w:bCs/>
          <w:color w:val="000000"/>
          <w:szCs w:val="18"/>
          <w14:ligatures w14:val="standardContextual"/>
        </w:rPr>
        <w:t>CDE</w:t>
      </w:r>
      <w:r w:rsidRPr="009F5DA8">
        <w:rPr>
          <w:rFonts w:eastAsia="Calibri" w:cs="Times New Roman"/>
          <w:color w:val="000000"/>
          <w:szCs w:val="18"/>
          <w14:ligatures w14:val="standardContextual"/>
        </w:rPr>
        <w:t xml:space="preserve">“) a (2) plánu realizace BIM, angl. </w:t>
      </w:r>
      <w:r w:rsidRPr="009F5DA8">
        <w:rPr>
          <w:rFonts w:eastAsia="Calibri" w:cs="Times New Roman"/>
          <w:i/>
          <w:iCs/>
          <w:color w:val="000000"/>
          <w:szCs w:val="18"/>
          <w14:ligatures w14:val="standardContextual"/>
        </w:rPr>
        <w:t xml:space="preserve">BIM </w:t>
      </w:r>
      <w:proofErr w:type="spellStart"/>
      <w:r w:rsidRPr="009F5DA8">
        <w:rPr>
          <w:rFonts w:eastAsia="Calibri" w:cs="Times New Roman"/>
          <w:i/>
          <w:iCs/>
          <w:color w:val="000000"/>
          <w:szCs w:val="18"/>
          <w14:ligatures w14:val="standardContextual"/>
        </w:rPr>
        <w:t>Execution</w:t>
      </w:r>
      <w:proofErr w:type="spellEnd"/>
      <w:r w:rsidRPr="009F5DA8">
        <w:rPr>
          <w:rFonts w:eastAsia="Calibri" w:cs="Times New Roman"/>
          <w:i/>
          <w:iCs/>
          <w:color w:val="000000"/>
          <w:szCs w:val="18"/>
          <w14:ligatures w14:val="standardContextual"/>
        </w:rPr>
        <w:t xml:space="preserve"> </w:t>
      </w:r>
      <w:proofErr w:type="spellStart"/>
      <w:r w:rsidRPr="009F5DA8">
        <w:rPr>
          <w:rFonts w:eastAsia="Calibri" w:cs="Times New Roman"/>
          <w:i/>
          <w:iCs/>
          <w:color w:val="000000"/>
          <w:szCs w:val="18"/>
          <w14:ligatures w14:val="standardContextual"/>
        </w:rPr>
        <w:t>Plan</w:t>
      </w:r>
      <w:proofErr w:type="spellEnd"/>
      <w:r w:rsidRPr="009F5DA8">
        <w:rPr>
          <w:rFonts w:eastAsia="Calibri" w:cs="Times New Roman"/>
          <w:i/>
          <w:iCs/>
          <w:color w:val="000000"/>
          <w:szCs w:val="18"/>
          <w14:ligatures w14:val="standardContextual"/>
        </w:rPr>
        <w:t xml:space="preserve"> </w:t>
      </w:r>
      <w:r w:rsidRPr="009F5DA8">
        <w:rPr>
          <w:rFonts w:eastAsia="Calibri" w:cs="Times New Roman"/>
          <w:color w:val="000000"/>
          <w:szCs w:val="18"/>
          <w14:ligatures w14:val="standardContextual"/>
        </w:rPr>
        <w:t>(„</w:t>
      </w:r>
      <w:r w:rsidRPr="009F5DA8">
        <w:rPr>
          <w:rFonts w:eastAsia="Calibri" w:cs="Times New Roman"/>
          <w:b/>
          <w:bCs/>
          <w:color w:val="000000"/>
          <w:szCs w:val="18"/>
          <w14:ligatures w14:val="standardContextual"/>
        </w:rPr>
        <w:t>BEP</w:t>
      </w:r>
      <w:r w:rsidRPr="009F5DA8">
        <w:rPr>
          <w:rFonts w:eastAsia="Calibri" w:cs="Times New Roman"/>
          <w:color w:val="000000"/>
          <w:szCs w:val="18"/>
          <w14:ligatures w14:val="standardContextual"/>
        </w:rPr>
        <w:t xml:space="preserve">“) a (3) obecné požadavky na BIM a specifikování (4) požadavků určení detailu modelu BIM, angl. </w:t>
      </w:r>
      <w:proofErr w:type="spellStart"/>
      <w:r w:rsidRPr="009F5DA8">
        <w:rPr>
          <w:rFonts w:eastAsia="Calibri" w:cs="Times New Roman"/>
          <w:i/>
          <w:iCs/>
          <w:color w:val="000000"/>
          <w:szCs w:val="18"/>
          <w14:ligatures w14:val="standardContextual"/>
        </w:rPr>
        <w:t>Employer</w:t>
      </w:r>
      <w:proofErr w:type="spellEnd"/>
      <w:r w:rsidRPr="009F5DA8">
        <w:rPr>
          <w:rFonts w:eastAsia="Calibri" w:cs="Times New Roman"/>
          <w:i/>
          <w:iCs/>
          <w:color w:val="000000"/>
          <w:szCs w:val="18"/>
          <w14:ligatures w14:val="standardContextual"/>
        </w:rPr>
        <w:t xml:space="preserve"> </w:t>
      </w:r>
      <w:proofErr w:type="spellStart"/>
      <w:r w:rsidRPr="009F5DA8">
        <w:rPr>
          <w:rFonts w:eastAsia="Calibri" w:cs="Times New Roman"/>
          <w:i/>
          <w:iCs/>
          <w:color w:val="000000"/>
          <w:szCs w:val="18"/>
          <w14:ligatures w14:val="standardContextual"/>
        </w:rPr>
        <w:t>Information</w:t>
      </w:r>
      <w:proofErr w:type="spellEnd"/>
      <w:r w:rsidRPr="009F5DA8">
        <w:rPr>
          <w:rFonts w:eastAsia="Calibri" w:cs="Times New Roman"/>
          <w:i/>
          <w:iCs/>
          <w:color w:val="000000"/>
          <w:szCs w:val="18"/>
          <w14:ligatures w14:val="standardContextual"/>
        </w:rPr>
        <w:t xml:space="preserve"> </w:t>
      </w:r>
      <w:proofErr w:type="spellStart"/>
      <w:r w:rsidRPr="009F5DA8">
        <w:rPr>
          <w:rFonts w:eastAsia="Calibri" w:cs="Times New Roman"/>
          <w:i/>
          <w:iCs/>
          <w:color w:val="000000"/>
          <w:szCs w:val="18"/>
          <w14:ligatures w14:val="standardContextual"/>
        </w:rPr>
        <w:t>Requirement</w:t>
      </w:r>
      <w:proofErr w:type="spellEnd"/>
      <w:r w:rsidRPr="009F5DA8">
        <w:rPr>
          <w:rFonts w:eastAsia="Calibri" w:cs="Times New Roman"/>
          <w:i/>
          <w:iCs/>
          <w:color w:val="000000"/>
          <w:szCs w:val="18"/>
          <w14:ligatures w14:val="standardContextual"/>
        </w:rPr>
        <w:t xml:space="preserve"> </w:t>
      </w:r>
      <w:r w:rsidRPr="009F5DA8">
        <w:rPr>
          <w:rFonts w:eastAsia="Calibri" w:cs="Times New Roman"/>
          <w:color w:val="000000"/>
          <w:szCs w:val="18"/>
          <w14:ligatures w14:val="standardContextual"/>
        </w:rPr>
        <w:t>(„</w:t>
      </w:r>
      <w:r w:rsidRPr="009F5DA8">
        <w:rPr>
          <w:rFonts w:eastAsia="Calibri" w:cs="Times New Roman"/>
          <w:b/>
          <w:bCs/>
          <w:color w:val="000000"/>
          <w:szCs w:val="18"/>
          <w14:ligatures w14:val="standardContextual"/>
        </w:rPr>
        <w:t>EIR</w:t>
      </w:r>
      <w:r w:rsidRPr="009F5DA8">
        <w:rPr>
          <w:rFonts w:eastAsia="Calibri" w:cs="Times New Roman"/>
          <w:color w:val="000000"/>
          <w:szCs w:val="18"/>
          <w14:ligatures w14:val="standardContextual"/>
        </w:rPr>
        <w:t xml:space="preserve">“). </w:t>
      </w:r>
    </w:p>
    <w:p w14:paraId="6DA399AE" w14:textId="7B1C276E" w:rsidR="009F5DA8" w:rsidRPr="007F488B" w:rsidRDefault="009F5DA8" w:rsidP="009A442F">
      <w:pPr>
        <w:pStyle w:val="Nadpis2"/>
        <w:spacing w:after="120"/>
        <w:rPr>
          <w:u w:val="single"/>
          <w:lang w:eastAsia="cs-CZ"/>
        </w:rPr>
      </w:pPr>
      <w:r w:rsidRPr="007F488B">
        <w:rPr>
          <w:u w:val="single"/>
          <w:lang w:eastAsia="cs-CZ"/>
        </w:rPr>
        <w:t>Finanční a ekonomické poradenství</w:t>
      </w:r>
    </w:p>
    <w:p w14:paraId="384B9515" w14:textId="5264AE51" w:rsidR="009F5DA8" w:rsidRPr="009F5DA8" w:rsidRDefault="009F5DA8" w:rsidP="007F488B">
      <w:pPr>
        <w:widowControl w:val="0"/>
        <w:numPr>
          <w:ilvl w:val="0"/>
          <w:numId w:val="16"/>
        </w:numPr>
        <w:autoSpaceDE w:val="0"/>
        <w:autoSpaceDN w:val="0"/>
        <w:adjustRightInd w:val="0"/>
        <w:spacing w:before="0" w:line="288" w:lineRule="auto"/>
        <w:ind w:left="1701" w:hanging="425"/>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Vypracování veškerých finančních a ekonomických částí kvalifikační a soutěžní dokumentace, včetně smluvní dokumentace, pro zahájení zadávacího řízení, jeho zdárný průběh a úspěšné ukončení, včetně finančního uzavření Projektu a zajištění komunikace s multilaterálními financujícími institucemi, s cílem </w:t>
      </w:r>
      <w:r w:rsidRPr="009F5DA8">
        <w:rPr>
          <w:rFonts w:eastAsia="Calibri" w:cs="Times New Roman"/>
          <w:color w:val="000000"/>
          <w:szCs w:val="18"/>
          <w14:ligatures w14:val="standardContextual"/>
        </w:rPr>
        <w:lastRenderedPageBreak/>
        <w:t>přizpůsobit v případě potřeby Projekt tak, aby byl pro tyto instituce financovatelný</w:t>
      </w:r>
      <w:r w:rsidR="00D35D2E">
        <w:rPr>
          <w:rFonts w:eastAsia="Calibri" w:cs="Times New Roman"/>
          <w:color w:val="000000"/>
          <w:szCs w:val="18"/>
          <w14:ligatures w14:val="standardContextual"/>
        </w:rPr>
        <w:t>,</w:t>
      </w:r>
      <w:r w:rsidRPr="009F5DA8">
        <w:rPr>
          <w:rFonts w:eastAsia="Calibri" w:cs="Times New Roman"/>
          <w:color w:val="000000"/>
          <w:szCs w:val="18"/>
          <w14:ligatures w14:val="standardContextual"/>
        </w:rPr>
        <w:t xml:space="preserve"> a </w:t>
      </w:r>
      <w:r w:rsidR="00D35D2E">
        <w:rPr>
          <w:rFonts w:eastAsia="Calibri" w:cs="Times New Roman"/>
          <w:color w:val="000000"/>
          <w:szCs w:val="18"/>
          <w14:ligatures w14:val="standardContextual"/>
        </w:rPr>
        <w:t xml:space="preserve">to především </w:t>
      </w:r>
      <w:r w:rsidRPr="009F5DA8">
        <w:rPr>
          <w:rFonts w:eastAsia="Calibri" w:cs="Times New Roman"/>
          <w:color w:val="000000"/>
          <w:szCs w:val="18"/>
          <w14:ligatures w14:val="standardContextual"/>
        </w:rPr>
        <w:t>s</w:t>
      </w:r>
      <w:r w:rsidR="005755E4">
        <w:rPr>
          <w:rFonts w:eastAsia="Calibri" w:cs="Times New Roman"/>
          <w:color w:val="000000"/>
          <w:szCs w:val="18"/>
          <w14:ligatures w14:val="standardContextual"/>
        </w:rPr>
        <w:t> </w:t>
      </w:r>
      <w:r w:rsidRPr="009F5DA8">
        <w:rPr>
          <w:rFonts w:eastAsia="Calibri" w:cs="Times New Roman"/>
          <w:color w:val="000000"/>
          <w:szCs w:val="18"/>
          <w14:ligatures w14:val="standardContextual"/>
        </w:rPr>
        <w:t>důrazem</w:t>
      </w:r>
      <w:r w:rsidR="005755E4">
        <w:rPr>
          <w:rFonts w:eastAsia="Calibri" w:cs="Times New Roman"/>
          <w:color w:val="000000"/>
          <w:szCs w:val="18"/>
          <w14:ligatures w14:val="standardContextual"/>
        </w:rPr>
        <w:t xml:space="preserve"> </w:t>
      </w:r>
      <w:r w:rsidRPr="009F5DA8">
        <w:rPr>
          <w:rFonts w:eastAsia="Calibri" w:cs="Times New Roman"/>
          <w:color w:val="000000"/>
          <w:szCs w:val="18"/>
          <w14:ligatures w14:val="standardContextual"/>
        </w:rPr>
        <w:t>na potřebu zajištění významnější části seniorního financování Evropskou investiční bankou (</w:t>
      </w:r>
      <w:proofErr w:type="spellStart"/>
      <w:r w:rsidRPr="009F5DA8">
        <w:rPr>
          <w:rFonts w:eastAsia="Calibri" w:cs="Times New Roman"/>
          <w:i/>
          <w:iCs/>
          <w:color w:val="000000"/>
          <w:szCs w:val="18"/>
          <w14:ligatures w14:val="standardContextual"/>
        </w:rPr>
        <w:t>European</w:t>
      </w:r>
      <w:proofErr w:type="spellEnd"/>
      <w:r w:rsidRPr="009F5DA8">
        <w:rPr>
          <w:rFonts w:eastAsia="Calibri" w:cs="Times New Roman"/>
          <w:i/>
          <w:iCs/>
          <w:color w:val="000000"/>
          <w:szCs w:val="18"/>
          <w14:ligatures w14:val="standardContextual"/>
        </w:rPr>
        <w:t xml:space="preserve"> </w:t>
      </w:r>
      <w:proofErr w:type="spellStart"/>
      <w:r w:rsidRPr="009F5DA8">
        <w:rPr>
          <w:rFonts w:eastAsia="Calibri" w:cs="Times New Roman"/>
          <w:i/>
          <w:iCs/>
          <w:color w:val="000000"/>
          <w:szCs w:val="18"/>
          <w14:ligatures w14:val="standardContextual"/>
        </w:rPr>
        <w:t>Investment</w:t>
      </w:r>
      <w:proofErr w:type="spellEnd"/>
      <w:r w:rsidRPr="009F5DA8">
        <w:rPr>
          <w:rFonts w:eastAsia="Calibri" w:cs="Times New Roman"/>
          <w:i/>
          <w:iCs/>
          <w:color w:val="000000"/>
          <w:szCs w:val="18"/>
          <w14:ligatures w14:val="standardContextual"/>
        </w:rPr>
        <w:t xml:space="preserve"> Bank - </w:t>
      </w:r>
      <w:r w:rsidRPr="009F5DA8">
        <w:rPr>
          <w:rFonts w:eastAsia="Calibri" w:cs="Times New Roman"/>
          <w:color w:val="000000"/>
          <w:szCs w:val="18"/>
          <w14:ligatures w14:val="standardContextual"/>
        </w:rPr>
        <w:t>dále jen „</w:t>
      </w:r>
      <w:r w:rsidRPr="009F5DA8">
        <w:rPr>
          <w:rFonts w:eastAsia="Calibri" w:cs="Times New Roman"/>
          <w:b/>
          <w:bCs/>
          <w:color w:val="000000"/>
          <w:szCs w:val="18"/>
          <w14:ligatures w14:val="standardContextual"/>
        </w:rPr>
        <w:t>EIB</w:t>
      </w:r>
      <w:r w:rsidRPr="009F5DA8">
        <w:rPr>
          <w:rFonts w:eastAsia="Calibri" w:cs="Times New Roman"/>
          <w:color w:val="000000"/>
          <w:szCs w:val="18"/>
          <w14:ligatures w14:val="standardContextual"/>
        </w:rPr>
        <w:t>“), a Evropskou bankou pro obnovu a rozvoj (</w:t>
      </w:r>
      <w:proofErr w:type="spellStart"/>
      <w:r w:rsidRPr="009F5DA8">
        <w:rPr>
          <w:rFonts w:eastAsia="Calibri" w:cs="Times New Roman"/>
          <w:i/>
          <w:iCs/>
          <w:color w:val="000000"/>
          <w:szCs w:val="18"/>
          <w14:ligatures w14:val="standardContextual"/>
        </w:rPr>
        <w:t>European</w:t>
      </w:r>
      <w:proofErr w:type="spellEnd"/>
      <w:r w:rsidRPr="009F5DA8">
        <w:rPr>
          <w:rFonts w:eastAsia="Calibri" w:cs="Times New Roman"/>
          <w:i/>
          <w:iCs/>
          <w:color w:val="000000"/>
          <w:szCs w:val="18"/>
          <w14:ligatures w14:val="standardContextual"/>
        </w:rPr>
        <w:t xml:space="preserve"> Bank </w:t>
      </w:r>
      <w:proofErr w:type="spellStart"/>
      <w:r w:rsidRPr="009F5DA8">
        <w:rPr>
          <w:rFonts w:eastAsia="Calibri" w:cs="Times New Roman"/>
          <w:i/>
          <w:iCs/>
          <w:color w:val="000000"/>
          <w:szCs w:val="18"/>
          <w14:ligatures w14:val="standardContextual"/>
        </w:rPr>
        <w:t>for</w:t>
      </w:r>
      <w:proofErr w:type="spellEnd"/>
      <w:r w:rsidRPr="009F5DA8">
        <w:rPr>
          <w:rFonts w:eastAsia="Calibri" w:cs="Times New Roman"/>
          <w:i/>
          <w:iCs/>
          <w:color w:val="000000"/>
          <w:szCs w:val="18"/>
          <w14:ligatures w14:val="standardContextual"/>
        </w:rPr>
        <w:t xml:space="preserve"> </w:t>
      </w:r>
      <w:proofErr w:type="spellStart"/>
      <w:r w:rsidRPr="009F5DA8">
        <w:rPr>
          <w:rFonts w:eastAsia="Calibri" w:cs="Times New Roman"/>
          <w:i/>
          <w:iCs/>
          <w:color w:val="000000"/>
          <w:szCs w:val="18"/>
          <w14:ligatures w14:val="standardContextual"/>
        </w:rPr>
        <w:t>Reconstruction</w:t>
      </w:r>
      <w:proofErr w:type="spellEnd"/>
      <w:r w:rsidRPr="009F5DA8">
        <w:rPr>
          <w:rFonts w:eastAsia="Calibri" w:cs="Times New Roman"/>
          <w:i/>
          <w:iCs/>
          <w:color w:val="000000"/>
          <w:szCs w:val="18"/>
          <w14:ligatures w14:val="standardContextual"/>
        </w:rPr>
        <w:t xml:space="preserve"> and Development </w:t>
      </w:r>
      <w:r w:rsidRPr="009F5DA8">
        <w:rPr>
          <w:rFonts w:eastAsia="Calibri" w:cs="Times New Roman"/>
          <w:color w:val="000000"/>
          <w:szCs w:val="18"/>
          <w14:ligatures w14:val="standardContextual"/>
        </w:rPr>
        <w:t>- dále jen „</w:t>
      </w:r>
      <w:r w:rsidRPr="009F5DA8">
        <w:rPr>
          <w:rFonts w:eastAsia="Calibri" w:cs="Times New Roman"/>
          <w:b/>
          <w:bCs/>
          <w:color w:val="000000"/>
          <w:szCs w:val="18"/>
          <w14:ligatures w14:val="standardContextual"/>
        </w:rPr>
        <w:t>EBRD</w:t>
      </w:r>
      <w:r w:rsidRPr="009F5DA8">
        <w:rPr>
          <w:rFonts w:eastAsia="Calibri" w:cs="Times New Roman"/>
          <w:color w:val="000000"/>
          <w:szCs w:val="18"/>
          <w14:ligatures w14:val="standardContextual"/>
        </w:rPr>
        <w:t>“).</w:t>
      </w:r>
    </w:p>
    <w:p w14:paraId="46A31D9F" w14:textId="0A2D1B7F" w:rsidR="009F5DA8" w:rsidRPr="009F5DA8" w:rsidRDefault="009F5DA8" w:rsidP="007E2395">
      <w:pPr>
        <w:widowControl w:val="0"/>
        <w:numPr>
          <w:ilvl w:val="0"/>
          <w:numId w:val="16"/>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Poskytování komplexních konzultací v rámci ekonomického a finančního poradenství v souvislosti s přípravou a průběhem zadávacího řízení pro Projekt</w:t>
      </w:r>
      <w:r w:rsidR="00A74320">
        <w:rPr>
          <w:rFonts w:eastAsia="Calibri" w:cs="Times New Roman"/>
          <w:color w:val="000000"/>
          <w:szCs w:val="18"/>
          <w14:ligatures w14:val="standardContextual"/>
        </w:rPr>
        <w:t xml:space="preserve">, </w:t>
      </w:r>
      <w:r w:rsidR="0069232C" w:rsidRPr="0069232C">
        <w:rPr>
          <w:rFonts w:eastAsia="Calibri" w:cs="Times New Roman"/>
          <w:color w:val="000000"/>
          <w:szCs w:val="18"/>
          <w14:ligatures w14:val="standardContextual"/>
        </w:rPr>
        <w:t>včetně poradenství v oblasti ESA 2010</w:t>
      </w:r>
      <w:r w:rsidRPr="009F5DA8">
        <w:rPr>
          <w:rFonts w:eastAsia="Calibri" w:cs="Times New Roman"/>
          <w:color w:val="000000"/>
          <w:szCs w:val="18"/>
          <w14:ligatures w14:val="standardContextual"/>
        </w:rPr>
        <w:t xml:space="preserve">. </w:t>
      </w:r>
    </w:p>
    <w:p w14:paraId="7AB4322D" w14:textId="77777777" w:rsidR="009F5DA8" w:rsidRPr="009F5DA8" w:rsidRDefault="009F5DA8" w:rsidP="007E2395">
      <w:pPr>
        <w:widowControl w:val="0"/>
        <w:numPr>
          <w:ilvl w:val="0"/>
          <w:numId w:val="16"/>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Vypracování a připomínkování podkladů, stanovisek, návrhů, odpovědí a smluv podle aktuálních požadavků zadavatele v souvislosti s přípravou a samotným průběhem zadávacího řízení pro Projekt z finančního a ekonomického hlediska (včetně daňových otázek, otázek pojištění, účetnictví apod.). </w:t>
      </w:r>
    </w:p>
    <w:p w14:paraId="6DF5EB3F" w14:textId="77777777" w:rsidR="009F5DA8" w:rsidRPr="009F5DA8" w:rsidRDefault="009F5DA8" w:rsidP="007E2395">
      <w:pPr>
        <w:widowControl w:val="0"/>
        <w:numPr>
          <w:ilvl w:val="0"/>
          <w:numId w:val="16"/>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Zabezpečení účasti kvalifikovaných expertů poskytujících finanční a ekonomické poradenství před a v průběhu zadávacího řízení pro Projekt podle potřeb zadavatele. </w:t>
      </w:r>
    </w:p>
    <w:p w14:paraId="0E4EB651" w14:textId="77777777" w:rsidR="009F5DA8" w:rsidRPr="009F5DA8" w:rsidRDefault="009F5DA8" w:rsidP="007E2395">
      <w:pPr>
        <w:widowControl w:val="0"/>
        <w:numPr>
          <w:ilvl w:val="0"/>
          <w:numId w:val="16"/>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ekonomického a finančního poradenství v souvislosti s případnými soudními spory či řízeními vedenými Úřadem pro ochranu hospodářské soutěže v souvislosti s Projektem. </w:t>
      </w:r>
    </w:p>
    <w:p w14:paraId="7CB50096" w14:textId="77777777" w:rsidR="009F5DA8" w:rsidRPr="009F5DA8" w:rsidRDefault="009F5DA8" w:rsidP="007E2395">
      <w:pPr>
        <w:widowControl w:val="0"/>
        <w:numPr>
          <w:ilvl w:val="0"/>
          <w:numId w:val="16"/>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Vytvoření finančního modelu pro ověřování parametrů Projektu v průběhu jeho přípravy a vytvoření zabezpečeného kalkulačního nástroje pro potřeby zadavatele sloužícího pro výpočet plateb za dostupnost, resp. výpočet srážek a kompenzací podle koncesionářské smlouvy, předání plně funkční verze těchto nástrojů zadavateli, a následné poskytování potřebné uživatelské podpory. Pod pojmem poskytování uživatelské podpory se rozumí dále i vyškolení personálu zadavatele pro práci s těmito nástroji. V případě, že bude nástroj zpracován v softwaru, kterým zadavatel nedisponuje, bude součástí předání tohoto kalkulačního nástroje i příslušná licence k softwaru umožňující zadavateli využívání a úpravy tohoto nástroje. Cena za licenci je obsažena v ceně za poskytované služby.</w:t>
      </w:r>
    </w:p>
    <w:p w14:paraId="46E47F6A" w14:textId="77777777" w:rsidR="009F5DA8" w:rsidRPr="009F5DA8" w:rsidRDefault="009F5DA8" w:rsidP="007E2395">
      <w:pPr>
        <w:widowControl w:val="0"/>
        <w:numPr>
          <w:ilvl w:val="0"/>
          <w:numId w:val="16"/>
        </w:numPr>
        <w:autoSpaceDE w:val="0"/>
        <w:autoSpaceDN w:val="0"/>
        <w:adjustRightInd w:val="0"/>
        <w:spacing w:before="0" w:after="104" w:line="288" w:lineRule="auto"/>
        <w:ind w:left="1701" w:hanging="426"/>
        <w:jc w:val="both"/>
        <w:rPr>
          <w:rFonts w:eastAsia="Calibri" w:cs="Times New Roman"/>
          <w:szCs w:val="18"/>
          <w14:ligatures w14:val="standardContextual"/>
        </w:rPr>
      </w:pPr>
      <w:r w:rsidRPr="009F5DA8">
        <w:rPr>
          <w:rFonts w:eastAsia="Calibri" w:cs="Times New Roman"/>
          <w:szCs w:val="18"/>
          <w14:ligatures w14:val="standardContextual"/>
        </w:rPr>
        <w:t xml:space="preserve">Aktualizace finančního modelu, který stanoví hodnotu za peníze. Aktualizovaný finanční model a přepočtená hodnota za peníze bude sestavena před okamžikem podání konečných nabídek tak, jak bude definováno ve výzvě k podání nabídek. </w:t>
      </w:r>
    </w:p>
    <w:p w14:paraId="46F8E857" w14:textId="20240399" w:rsidR="009F5DA8" w:rsidRPr="009F5DA8" w:rsidRDefault="009F5DA8" w:rsidP="007E2395">
      <w:pPr>
        <w:widowControl w:val="0"/>
        <w:numPr>
          <w:ilvl w:val="0"/>
          <w:numId w:val="16"/>
        </w:numPr>
        <w:autoSpaceDE w:val="0"/>
        <w:autoSpaceDN w:val="0"/>
        <w:adjustRightInd w:val="0"/>
        <w:spacing w:before="0" w:after="0"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Poskytování dalších služeb finančního a ekonomického poradenství a podpory pro zadavatele, vypracování stanovisek a dalších souvisejících písemností a aktivní účast při řešení jakýchkoliv záležitostí finančního a ekonomického charakteru v souvislosti s přípravou a realizací Projektu.</w:t>
      </w:r>
    </w:p>
    <w:p w14:paraId="55F61B7C" w14:textId="38B18562" w:rsidR="009F5DA8" w:rsidRPr="00BE4D95" w:rsidRDefault="009F5DA8" w:rsidP="009A442F">
      <w:pPr>
        <w:pStyle w:val="Nadpis2"/>
        <w:spacing w:after="120"/>
        <w:rPr>
          <w:u w:val="single"/>
          <w:lang w:eastAsia="cs-CZ"/>
        </w:rPr>
      </w:pPr>
      <w:r w:rsidRPr="00BE4D95">
        <w:rPr>
          <w:u w:val="single"/>
          <w:lang w:eastAsia="cs-CZ"/>
        </w:rPr>
        <w:t>Technické poradenství</w:t>
      </w:r>
    </w:p>
    <w:p w14:paraId="5D8941A1" w14:textId="5D426FDF"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Vypracování veškerých technických částí kvalifikační a soutěžní dokumentace, včetně smluvní dokumentace, pro možnost zahájení zadávacího řízení, jeho </w:t>
      </w:r>
      <w:r w:rsidRPr="009F5DA8">
        <w:rPr>
          <w:rFonts w:eastAsia="Calibri" w:cs="Times New Roman"/>
          <w:color w:val="000000"/>
          <w:szCs w:val="18"/>
          <w14:ligatures w14:val="standardContextual"/>
        </w:rPr>
        <w:lastRenderedPageBreak/>
        <w:t>zdárný průběh a úspěšné ukončení, včetně finančního uzavření Projektu a zajištění komunikace s multilaterálními financujícími institucemi, s cílem přizpůsobit v případě potřeby Projekt tak, aby byl pro tyto instituce financovatelný</w:t>
      </w:r>
      <w:r w:rsidR="00EA40DB">
        <w:rPr>
          <w:rFonts w:eastAsia="Calibri" w:cs="Times New Roman"/>
          <w:color w:val="000000"/>
          <w:szCs w:val="18"/>
          <w14:ligatures w14:val="standardContextual"/>
        </w:rPr>
        <w:t>,</w:t>
      </w:r>
      <w:r w:rsidRPr="009F5DA8">
        <w:rPr>
          <w:rFonts w:eastAsia="Calibri" w:cs="Times New Roman"/>
          <w:color w:val="000000"/>
          <w:szCs w:val="18"/>
          <w14:ligatures w14:val="standardContextual"/>
        </w:rPr>
        <w:t xml:space="preserve"> a</w:t>
      </w:r>
      <w:r w:rsidR="00EA40DB">
        <w:rPr>
          <w:rFonts w:eastAsia="Calibri" w:cs="Times New Roman"/>
          <w:color w:val="000000"/>
          <w:szCs w:val="18"/>
          <w14:ligatures w14:val="standardContextual"/>
        </w:rPr>
        <w:t xml:space="preserve"> to především</w:t>
      </w:r>
      <w:r w:rsidRPr="009F5DA8">
        <w:rPr>
          <w:rFonts w:eastAsia="Calibri" w:cs="Times New Roman"/>
          <w:color w:val="000000"/>
          <w:szCs w:val="18"/>
          <w14:ligatures w14:val="standardContextual"/>
        </w:rPr>
        <w:t xml:space="preserve"> s důrazem na potřebu zajištění významnější části seniorního financování prostřednictvím EIB a EBRD.</w:t>
      </w:r>
    </w:p>
    <w:p w14:paraId="75A7B8AB" w14:textId="463B199E"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komplexních konzultací v rámci technického poradenství pro zadavatele v souvislosti s přípravou a </w:t>
      </w:r>
      <w:r w:rsidR="00EA40DB">
        <w:rPr>
          <w:rFonts w:eastAsia="Calibri" w:cs="Times New Roman"/>
          <w:color w:val="000000"/>
          <w:szCs w:val="18"/>
          <w14:ligatures w14:val="standardContextual"/>
        </w:rPr>
        <w:t xml:space="preserve">se </w:t>
      </w:r>
      <w:r w:rsidRPr="009F5DA8">
        <w:rPr>
          <w:rFonts w:eastAsia="Calibri" w:cs="Times New Roman"/>
          <w:color w:val="000000"/>
          <w:szCs w:val="18"/>
          <w14:ligatures w14:val="standardContextual"/>
        </w:rPr>
        <w:t>samotným průběhem zadávacího řízení pro Projekt.</w:t>
      </w:r>
    </w:p>
    <w:p w14:paraId="3E6469A3" w14:textId="77777777"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Vypracování a připomínkování podkladů, stanovisek, návrhů, odpovědí podle aktuálních požadavků zadavatele v souvislosti s přípravou a samotným průběhem zadávacího řízení pro Projekt z technického hlediska. </w:t>
      </w:r>
    </w:p>
    <w:p w14:paraId="2D357340" w14:textId="77777777"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Zabezpečení účasti kvalifikovaných expertů poskytujících technické poradenství před a v průběhu zadávacího řízení pro Projekt podle potřeb zadavatele. </w:t>
      </w:r>
    </w:p>
    <w:p w14:paraId="76931A57" w14:textId="77777777"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technického poradenství v souvislosti s případnými soudními spory či řízeními vedenými Úřadem pro ochranu hospodářské soutěže v souvislosti s Projektem. </w:t>
      </w:r>
    </w:p>
    <w:p w14:paraId="04666F60" w14:textId="77777777"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Spolupráce se zpracovateli projektových dokumentací Projektu při vytváření podkladů nezbytných pro úspěšné zahájení a průběh zadávacího řízení. V případě potřeby poskytování konzultací k technickým aspektům v místě plánované stavby Projektu či v místě sídla zpracovatelů projektové dokumentace. </w:t>
      </w:r>
    </w:p>
    <w:p w14:paraId="68CB5B69" w14:textId="77777777"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technického poradenství při řešení majetkoprávních záležitostí při přípravě Projektu. </w:t>
      </w:r>
    </w:p>
    <w:p w14:paraId="5C7ECB6C" w14:textId="77777777" w:rsidR="009F5DA8" w:rsidRP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Poskytování dalších služeb technického poradenství/podpory zadavateli, vypracování stanovisek a dalších souvisejících písemností a aktivní participace při řešení jakýchkoliv záležitostí technického charakteru v souvislosti s přípravou a realizací Projektu. </w:t>
      </w:r>
    </w:p>
    <w:p w14:paraId="074EC6E1" w14:textId="75D74555" w:rsidR="009F5DA8" w:rsidRDefault="009F5DA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9F5DA8">
        <w:rPr>
          <w:rFonts w:eastAsia="Calibri" w:cs="Times New Roman"/>
          <w:color w:val="000000"/>
          <w:szCs w:val="18"/>
          <w14:ligatures w14:val="standardContextual"/>
        </w:rPr>
        <w:t xml:space="preserve">Předmětem poskytovaných služeb není fyzické provedení průzkumných prací, které mohou být nezbytné pro provedení potřebného </w:t>
      </w:r>
      <w:proofErr w:type="spellStart"/>
      <w:r w:rsidRPr="009F5DA8">
        <w:rPr>
          <w:rFonts w:eastAsia="Calibri" w:cs="Times New Roman"/>
          <w:i/>
          <w:iCs/>
          <w:color w:val="000000"/>
          <w:szCs w:val="18"/>
          <w14:ligatures w14:val="standardContextual"/>
        </w:rPr>
        <w:t>due</w:t>
      </w:r>
      <w:proofErr w:type="spellEnd"/>
      <w:r w:rsidRPr="009F5DA8">
        <w:rPr>
          <w:rFonts w:eastAsia="Calibri" w:cs="Times New Roman"/>
          <w:i/>
          <w:iCs/>
          <w:color w:val="000000"/>
          <w:szCs w:val="18"/>
          <w14:ligatures w14:val="standardContextual"/>
        </w:rPr>
        <w:t xml:space="preserve"> diligence</w:t>
      </w:r>
      <w:r w:rsidRPr="009F5DA8">
        <w:rPr>
          <w:rFonts w:eastAsia="Calibri" w:cs="Times New Roman"/>
          <w:color w:val="000000"/>
          <w:szCs w:val="18"/>
          <w14:ligatures w14:val="standardContextual"/>
        </w:rPr>
        <w:t xml:space="preserve"> u zahrnutých provozovaných úseků, resp. u úseků, které mají být nově vystavěné. Zadavatel disponuje většinou potřebných průzkumů u plánovaných novostaveb. Zadavatel zajistí případné provedení dodatečných fyzických průzkumných prací separátně od předmětu plnění této </w:t>
      </w:r>
      <w:r w:rsidR="00DB6368">
        <w:rPr>
          <w:rFonts w:eastAsia="Calibri" w:cs="Times New Roman"/>
          <w:color w:val="000000"/>
          <w:szCs w:val="18"/>
          <w14:ligatures w14:val="standardContextual"/>
        </w:rPr>
        <w:t>veřejné zakázky</w:t>
      </w:r>
      <w:r w:rsidR="00DB6368" w:rsidRPr="009F5DA8">
        <w:rPr>
          <w:rFonts w:eastAsia="Calibri" w:cs="Times New Roman"/>
          <w:color w:val="000000"/>
          <w:szCs w:val="18"/>
          <w14:ligatures w14:val="standardContextual"/>
        </w:rPr>
        <w:t xml:space="preserve"> </w:t>
      </w:r>
      <w:r w:rsidRPr="009F5DA8">
        <w:rPr>
          <w:rFonts w:eastAsia="Calibri" w:cs="Times New Roman"/>
          <w:color w:val="000000"/>
          <w:szCs w:val="18"/>
          <w14:ligatures w14:val="standardContextual"/>
        </w:rPr>
        <w:t>v rozsahu, který s technickým poradcem vzájemně písemně odsouhlasí jako nezbytný.</w:t>
      </w:r>
    </w:p>
    <w:p w14:paraId="65B5FE03" w14:textId="7040B233" w:rsidR="009D74D8" w:rsidRPr="00595730" w:rsidRDefault="009D74D8"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Pr>
          <w:rFonts w:eastAsia="Calibri" w:cs="Times New Roman"/>
          <w:color w:val="000000"/>
          <w:szCs w:val="18"/>
          <w14:ligatures w14:val="standardContextual"/>
        </w:rPr>
        <w:t xml:space="preserve">Poskytování </w:t>
      </w:r>
      <w:r w:rsidR="00973628">
        <w:rPr>
          <w:rFonts w:eastAsia="Calibri"/>
          <w:color w:val="000000"/>
          <w14:ligatures w14:val="standardContextual"/>
        </w:rPr>
        <w:t>technického</w:t>
      </w:r>
      <w:r w:rsidRPr="009F5DA8">
        <w:rPr>
          <w:rFonts w:eastAsia="Calibri"/>
          <w:color w:val="000000"/>
          <w14:ligatures w14:val="standardContextual"/>
        </w:rPr>
        <w:t xml:space="preserve"> poradenství ve vztahu k implementaci metody BIM; vypracování podkladů, návrhů a řešení pro efektivní využití BIM zúčastněnými stranami projektu PPP Nemanice – Ševětín, přípravu dokumentace a podkladů s ohledem na implementaci BIM, návrhů na vytvoření (1) společného datového prostředí, angl. </w:t>
      </w:r>
      <w:proofErr w:type="spellStart"/>
      <w:r w:rsidRPr="009F5DA8">
        <w:rPr>
          <w:rFonts w:eastAsia="Calibri"/>
          <w:i/>
          <w:color w:val="000000"/>
          <w14:ligatures w14:val="standardContextual"/>
        </w:rPr>
        <w:t>Common</w:t>
      </w:r>
      <w:proofErr w:type="spellEnd"/>
      <w:r w:rsidRPr="009F5DA8">
        <w:rPr>
          <w:rFonts w:eastAsia="Calibri"/>
          <w:i/>
          <w:color w:val="000000"/>
          <w14:ligatures w14:val="standardContextual"/>
        </w:rPr>
        <w:t xml:space="preserve"> Data Environment </w:t>
      </w:r>
      <w:r w:rsidRPr="009F5DA8">
        <w:rPr>
          <w:rFonts w:eastAsia="Calibri"/>
          <w:color w:val="000000"/>
          <w14:ligatures w14:val="standardContextual"/>
        </w:rPr>
        <w:t>(„</w:t>
      </w:r>
      <w:r w:rsidRPr="009F5DA8">
        <w:rPr>
          <w:rFonts w:eastAsia="Calibri"/>
          <w:b/>
          <w:bCs/>
          <w:color w:val="000000"/>
          <w14:ligatures w14:val="standardContextual"/>
        </w:rPr>
        <w:t>CDE</w:t>
      </w:r>
      <w:r w:rsidRPr="009F5DA8">
        <w:rPr>
          <w:rFonts w:eastAsia="Calibri"/>
          <w:color w:val="000000"/>
          <w14:ligatures w14:val="standardContextual"/>
        </w:rPr>
        <w:t xml:space="preserve">“) a (2) plánu realizace BIM, angl. </w:t>
      </w:r>
      <w:r w:rsidRPr="009F5DA8">
        <w:rPr>
          <w:rFonts w:eastAsia="Calibri"/>
          <w:i/>
          <w:color w:val="000000"/>
          <w14:ligatures w14:val="standardContextual"/>
        </w:rPr>
        <w:t xml:space="preserve">BIM </w:t>
      </w:r>
      <w:proofErr w:type="spellStart"/>
      <w:r w:rsidRPr="009F5DA8">
        <w:rPr>
          <w:rFonts w:eastAsia="Calibri"/>
          <w:i/>
          <w:color w:val="000000"/>
          <w14:ligatures w14:val="standardContextual"/>
        </w:rPr>
        <w:t>Execution</w:t>
      </w:r>
      <w:proofErr w:type="spellEnd"/>
      <w:r w:rsidRPr="009F5DA8">
        <w:rPr>
          <w:rFonts w:eastAsia="Calibri"/>
          <w:i/>
          <w:color w:val="000000"/>
          <w14:ligatures w14:val="standardContextual"/>
        </w:rPr>
        <w:t xml:space="preserve"> </w:t>
      </w:r>
      <w:proofErr w:type="spellStart"/>
      <w:r w:rsidRPr="009F5DA8">
        <w:rPr>
          <w:rFonts w:eastAsia="Calibri"/>
          <w:i/>
          <w:color w:val="000000"/>
          <w14:ligatures w14:val="standardContextual"/>
        </w:rPr>
        <w:t>Plan</w:t>
      </w:r>
      <w:proofErr w:type="spellEnd"/>
      <w:r w:rsidRPr="009F5DA8">
        <w:rPr>
          <w:rFonts w:eastAsia="Calibri"/>
          <w:i/>
          <w:color w:val="000000"/>
          <w14:ligatures w14:val="standardContextual"/>
        </w:rPr>
        <w:t xml:space="preserve"> </w:t>
      </w:r>
      <w:r w:rsidRPr="009F5DA8">
        <w:rPr>
          <w:rFonts w:eastAsia="Calibri"/>
          <w:color w:val="000000"/>
          <w14:ligatures w14:val="standardContextual"/>
        </w:rPr>
        <w:t>(„</w:t>
      </w:r>
      <w:r w:rsidRPr="009F5DA8">
        <w:rPr>
          <w:rFonts w:eastAsia="Calibri"/>
          <w:b/>
          <w:bCs/>
          <w:color w:val="000000"/>
          <w14:ligatures w14:val="standardContextual"/>
        </w:rPr>
        <w:t>BEP</w:t>
      </w:r>
      <w:r w:rsidRPr="009F5DA8">
        <w:rPr>
          <w:rFonts w:eastAsia="Calibri"/>
          <w:color w:val="000000"/>
          <w14:ligatures w14:val="standardContextual"/>
        </w:rPr>
        <w:t xml:space="preserve">“) a (3) obecné požadavky na </w:t>
      </w:r>
      <w:r w:rsidRPr="009F5DA8">
        <w:rPr>
          <w:rFonts w:eastAsia="Calibri"/>
          <w:color w:val="000000"/>
          <w14:ligatures w14:val="standardContextual"/>
        </w:rPr>
        <w:lastRenderedPageBreak/>
        <w:t xml:space="preserve">BIM a specifikování (4) požadavků určení detailu modelu BIM, angl. </w:t>
      </w:r>
      <w:proofErr w:type="spellStart"/>
      <w:r w:rsidRPr="009F5DA8">
        <w:rPr>
          <w:rFonts w:eastAsia="Calibri"/>
          <w:i/>
          <w:color w:val="000000"/>
          <w14:ligatures w14:val="standardContextual"/>
        </w:rPr>
        <w:t>Employer</w:t>
      </w:r>
      <w:proofErr w:type="spellEnd"/>
      <w:r w:rsidRPr="009F5DA8">
        <w:rPr>
          <w:rFonts w:eastAsia="Calibri"/>
          <w:i/>
          <w:color w:val="000000"/>
          <w14:ligatures w14:val="standardContextual"/>
        </w:rPr>
        <w:t xml:space="preserve"> </w:t>
      </w:r>
      <w:proofErr w:type="spellStart"/>
      <w:r w:rsidRPr="009F5DA8">
        <w:rPr>
          <w:rFonts w:eastAsia="Calibri"/>
          <w:i/>
          <w:color w:val="000000"/>
          <w14:ligatures w14:val="standardContextual"/>
        </w:rPr>
        <w:t>Information</w:t>
      </w:r>
      <w:proofErr w:type="spellEnd"/>
      <w:r w:rsidRPr="009F5DA8">
        <w:rPr>
          <w:rFonts w:eastAsia="Calibri"/>
          <w:i/>
          <w:color w:val="000000"/>
          <w14:ligatures w14:val="standardContextual"/>
        </w:rPr>
        <w:t xml:space="preserve"> </w:t>
      </w:r>
      <w:proofErr w:type="spellStart"/>
      <w:r w:rsidRPr="009F5DA8">
        <w:rPr>
          <w:rFonts w:eastAsia="Calibri"/>
          <w:i/>
          <w:color w:val="000000"/>
          <w14:ligatures w14:val="standardContextual"/>
        </w:rPr>
        <w:t>Requirement</w:t>
      </w:r>
      <w:proofErr w:type="spellEnd"/>
      <w:r w:rsidRPr="009F5DA8">
        <w:rPr>
          <w:rFonts w:eastAsia="Calibri"/>
          <w:i/>
          <w:color w:val="000000"/>
          <w14:ligatures w14:val="standardContextual"/>
        </w:rPr>
        <w:t xml:space="preserve"> </w:t>
      </w:r>
      <w:r w:rsidRPr="009F5DA8">
        <w:rPr>
          <w:rFonts w:eastAsia="Calibri"/>
          <w:color w:val="000000"/>
          <w14:ligatures w14:val="standardContextual"/>
        </w:rPr>
        <w:t>(„</w:t>
      </w:r>
      <w:r w:rsidRPr="009F5DA8">
        <w:rPr>
          <w:rFonts w:eastAsia="Calibri"/>
          <w:b/>
          <w:bCs/>
          <w:color w:val="000000"/>
          <w14:ligatures w14:val="standardContextual"/>
        </w:rPr>
        <w:t>EIR</w:t>
      </w:r>
      <w:r w:rsidRPr="009F5DA8">
        <w:rPr>
          <w:rFonts w:eastAsia="Calibri"/>
          <w:color w:val="000000"/>
          <w14:ligatures w14:val="standardContextual"/>
        </w:rPr>
        <w:t>“).</w:t>
      </w:r>
    </w:p>
    <w:p w14:paraId="7CE503D8" w14:textId="2C4044D1" w:rsidR="00595730" w:rsidRDefault="00595730"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595730">
        <w:rPr>
          <w:rFonts w:eastAsia="Calibri" w:cs="Times New Roman"/>
          <w:color w:val="000000"/>
          <w:szCs w:val="18"/>
          <w14:ligatures w14:val="standardContextual"/>
        </w:rPr>
        <w:t>Poskytování podkladů pro stanovení technických, finančních a právních kvalifikačních kritérií</w:t>
      </w:r>
      <w:r>
        <w:rPr>
          <w:rFonts w:eastAsia="Calibri" w:cs="Times New Roman"/>
          <w:color w:val="000000"/>
          <w:szCs w:val="18"/>
          <w14:ligatures w14:val="standardContextual"/>
        </w:rPr>
        <w:t>.</w:t>
      </w:r>
    </w:p>
    <w:p w14:paraId="3856AAD6" w14:textId="7E0124C0" w:rsidR="00595730" w:rsidRDefault="00595730"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595730">
        <w:rPr>
          <w:rFonts w:eastAsia="Calibri" w:cs="Times New Roman"/>
          <w:color w:val="000000"/>
          <w:szCs w:val="18"/>
          <w14:ligatures w14:val="standardContextual"/>
        </w:rPr>
        <w:t>Vypracování technických specifikací, které popisují technické aspekty povinností soukromého sektoru v rámci dohod o projektu, včetně úrovně služeb, kvality výstupů a požadavků na výkon</w:t>
      </w:r>
      <w:r>
        <w:rPr>
          <w:rFonts w:eastAsia="Calibri" w:cs="Times New Roman"/>
          <w:color w:val="000000"/>
          <w:szCs w:val="18"/>
          <w14:ligatures w14:val="standardContextual"/>
        </w:rPr>
        <w:t>.</w:t>
      </w:r>
    </w:p>
    <w:p w14:paraId="41D488F4" w14:textId="2A317A52" w:rsidR="00595730" w:rsidRDefault="00595730"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595730">
        <w:rPr>
          <w:rFonts w:eastAsia="Calibri" w:cs="Times New Roman"/>
          <w:color w:val="000000"/>
          <w:szCs w:val="18"/>
          <w14:ligatures w14:val="standardContextual"/>
        </w:rPr>
        <w:t>Navrhování podrobných klíčových ukazatelů výkonnosti (KPI)</w:t>
      </w:r>
      <w:r>
        <w:rPr>
          <w:rFonts w:eastAsia="Calibri" w:cs="Times New Roman"/>
          <w:color w:val="000000"/>
          <w:szCs w:val="18"/>
          <w14:ligatures w14:val="standardContextual"/>
        </w:rPr>
        <w:t>.</w:t>
      </w:r>
    </w:p>
    <w:p w14:paraId="78604055" w14:textId="6FD65059" w:rsidR="004F00F9" w:rsidRPr="007544EA" w:rsidRDefault="004F00F9" w:rsidP="007E2395">
      <w:pPr>
        <w:widowControl w:val="0"/>
        <w:numPr>
          <w:ilvl w:val="0"/>
          <w:numId w:val="17"/>
        </w:numPr>
        <w:autoSpaceDE w:val="0"/>
        <w:autoSpaceDN w:val="0"/>
        <w:adjustRightInd w:val="0"/>
        <w:spacing w:before="0" w:after="104" w:line="288" w:lineRule="auto"/>
        <w:ind w:left="1701" w:hanging="426"/>
        <w:jc w:val="both"/>
        <w:rPr>
          <w:rFonts w:eastAsia="Calibri" w:cs="Times New Roman"/>
          <w:color w:val="000000"/>
          <w:szCs w:val="18"/>
          <w14:ligatures w14:val="standardContextual"/>
        </w:rPr>
      </w:pPr>
      <w:r w:rsidRPr="004F00F9">
        <w:rPr>
          <w:rFonts w:eastAsia="Calibri" w:cs="Times New Roman"/>
          <w:color w:val="000000"/>
          <w:szCs w:val="18"/>
          <w14:ligatures w14:val="standardContextual"/>
        </w:rPr>
        <w:t>Vypracování ustanovení týkajících se platných požadavků E&amp;S a zajištění zapracování doporučení a odpovědností z posouzení E&amp;S</w:t>
      </w:r>
      <w:r>
        <w:rPr>
          <w:rFonts w:eastAsia="Calibri" w:cs="Times New Roman"/>
          <w:color w:val="000000"/>
          <w:szCs w:val="18"/>
          <w14:ligatures w14:val="standardContextual"/>
        </w:rPr>
        <w:t>.</w:t>
      </w:r>
    </w:p>
    <w:p w14:paraId="5A122FF9" w14:textId="63484FAC" w:rsidR="007544EA" w:rsidRPr="009F5DA8" w:rsidRDefault="007544EA" w:rsidP="007544EA">
      <w:pPr>
        <w:pStyle w:val="Nadpis2"/>
      </w:pPr>
      <w:r w:rsidRPr="007544EA">
        <w:t>Z důvodů nutnosti zajištění komplexnosti a vzájemné provázanosti jednotlivých výše specifikovaných poradenských činností, které spolu vzájemně velmi úzce souvisí a jsou elementárním základem úspěšnosti Projektu, nepřistoupil zadavatel k rozdělení veřejné zakázky na části dle § 35 ZZVZ. Povaha předmětu veřejné zakázky její rozdělení nepřipouští, a to zejména s ohledem na vzájemnou provázanost jednotlivých poskytovaných služeb a nemožnost zajištění koordinace více poskytovatelů ze strany zadavatele. Rozdělení veřejné zakázky na části by ohrozilo její řádné plnění s vysokým rizikem nejednoznačné odpovědnosti jednotlivých poskytovatelů dílčích služeb.</w:t>
      </w:r>
    </w:p>
    <w:p w14:paraId="39B905C2" w14:textId="5A07A20D" w:rsidR="005D636E" w:rsidRPr="001549EC" w:rsidRDefault="008C2623" w:rsidP="00725912">
      <w:pPr>
        <w:pStyle w:val="Nadpis1"/>
        <w:keepNext w:val="0"/>
        <w:keepLines w:val="0"/>
      </w:pPr>
      <w:r w:rsidRPr="008C2623">
        <w:t>Místo a termín plnění veřejné zakázky</w:t>
      </w:r>
      <w:r w:rsidR="005D636E" w:rsidRPr="001549EC">
        <w:t>:</w:t>
      </w:r>
    </w:p>
    <w:p w14:paraId="4C834A12" w14:textId="1CEBA640" w:rsidR="008C2623" w:rsidRDefault="008C2623" w:rsidP="00646BC3">
      <w:pPr>
        <w:pStyle w:val="Nadpis2"/>
      </w:pPr>
      <w:r>
        <w:t>Místem plnění veřejné zakázky je sídlo zadavatele nebo sídlo vybraného dodavatele. Zadavatel vyžaduje, aby veškerá jednání, související s poskytovanými službami, byla organizována v sídle zadavatele – Dlážděná 1003/7, 110 00 Praha 1, nebo alternativně na jiném místě v rámci České republiky s ohledem na lokalizaci Projektu či na jiném místě určeném na základě vzájemné shody zadavatele a vybraného dodavatele.</w:t>
      </w:r>
    </w:p>
    <w:p w14:paraId="319BF0D6" w14:textId="77777777" w:rsidR="00955563" w:rsidRDefault="008C2623" w:rsidP="00646BC3">
      <w:pPr>
        <w:pStyle w:val="Nadpis2"/>
      </w:pPr>
      <w:r>
        <w:t xml:space="preserve">Předpokládaný termín zahájení </w:t>
      </w:r>
      <w:r w:rsidRPr="00E23380">
        <w:t>plnění je 1. kvartál roku 2024.</w:t>
      </w:r>
    </w:p>
    <w:p w14:paraId="661CCE1B" w14:textId="49689484" w:rsidR="00B0071A" w:rsidRPr="00A909DD" w:rsidRDefault="00955563" w:rsidP="00646BC3">
      <w:pPr>
        <w:pStyle w:val="Nadpis2"/>
        <w:rPr>
          <w:u w:val="single"/>
        </w:rPr>
      </w:pPr>
      <w:r w:rsidRPr="00A909DD">
        <w:rPr>
          <w:u w:val="single"/>
        </w:rPr>
        <w:t>Předpokládaný harmonogra</w:t>
      </w:r>
      <w:r w:rsidR="00B0071A" w:rsidRPr="00A909DD">
        <w:rPr>
          <w:u w:val="single"/>
        </w:rPr>
        <w:t>m</w:t>
      </w:r>
    </w:p>
    <w:tbl>
      <w:tblPr>
        <w:tblW w:w="7513" w:type="dxa"/>
        <w:tblInd w:w="1119" w:type="dxa"/>
        <w:tblCellMar>
          <w:left w:w="70" w:type="dxa"/>
          <w:right w:w="70" w:type="dxa"/>
        </w:tblCellMar>
        <w:tblLook w:val="04A0" w:firstRow="1" w:lastRow="0" w:firstColumn="1" w:lastColumn="0" w:noHBand="0" w:noVBand="1"/>
      </w:tblPr>
      <w:tblGrid>
        <w:gridCol w:w="1134"/>
        <w:gridCol w:w="709"/>
        <w:gridCol w:w="709"/>
        <w:gridCol w:w="709"/>
        <w:gridCol w:w="708"/>
        <w:gridCol w:w="709"/>
        <w:gridCol w:w="709"/>
        <w:gridCol w:w="709"/>
        <w:gridCol w:w="708"/>
        <w:gridCol w:w="709"/>
      </w:tblGrid>
      <w:tr w:rsidR="006810B4" w:rsidRPr="001A0550" w14:paraId="7F32BFB1" w14:textId="77777777" w:rsidTr="006810B4">
        <w:trPr>
          <w:cantSplit/>
          <w:trHeight w:val="3157"/>
        </w:trPr>
        <w:tc>
          <w:tcPr>
            <w:tcW w:w="1134" w:type="dxa"/>
            <w:tcBorders>
              <w:top w:val="single" w:sz="12" w:space="0" w:color="auto"/>
              <w:left w:val="single" w:sz="12" w:space="0" w:color="auto"/>
              <w:bottom w:val="single" w:sz="12" w:space="0" w:color="auto"/>
              <w:right w:val="single" w:sz="4" w:space="0" w:color="auto"/>
            </w:tcBorders>
            <w:shd w:val="clear" w:color="000000" w:fill="D9E1F2"/>
            <w:textDirection w:val="tbRl"/>
            <w:vAlign w:val="center"/>
            <w:hideMark/>
          </w:tcPr>
          <w:p w14:paraId="4B172CA8" w14:textId="77777777" w:rsidR="001A0550" w:rsidRPr="001A0550" w:rsidRDefault="001A0550" w:rsidP="006810B4">
            <w:pPr>
              <w:spacing w:before="0" w:after="0" w:line="240" w:lineRule="auto"/>
              <w:ind w:left="113" w:right="113"/>
              <w:jc w:val="center"/>
              <w:rPr>
                <w:rFonts w:eastAsia="Times New Roman" w:cs="Calibri"/>
                <w:b/>
                <w:bCs/>
                <w:color w:val="000000"/>
                <w:szCs w:val="18"/>
                <w:lang w:eastAsia="cs-CZ"/>
              </w:rPr>
            </w:pPr>
            <w:r w:rsidRPr="001A0550">
              <w:rPr>
                <w:rFonts w:eastAsia="Times New Roman" w:cs="Calibri"/>
                <w:b/>
                <w:bCs/>
                <w:color w:val="000000"/>
                <w:szCs w:val="18"/>
                <w:lang w:eastAsia="cs-CZ"/>
              </w:rPr>
              <w:t>Příprava a realizace projektu</w:t>
            </w:r>
          </w:p>
        </w:tc>
        <w:tc>
          <w:tcPr>
            <w:tcW w:w="709"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53191228"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Schválení Vládou ČR</w:t>
            </w:r>
          </w:p>
        </w:tc>
        <w:tc>
          <w:tcPr>
            <w:tcW w:w="709"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03DA5C4E"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Výběr transakčního poradce (SŽ)</w:t>
            </w:r>
          </w:p>
        </w:tc>
        <w:tc>
          <w:tcPr>
            <w:tcW w:w="709"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6B13D2A8"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Příprava zadávací dokumentace, zahájení výběru</w:t>
            </w:r>
          </w:p>
        </w:tc>
        <w:tc>
          <w:tcPr>
            <w:tcW w:w="708"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72856B51"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Kvalifikační fáze</w:t>
            </w:r>
          </w:p>
        </w:tc>
        <w:tc>
          <w:tcPr>
            <w:tcW w:w="709"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0372FF09"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Soutěžní dialog</w:t>
            </w:r>
          </w:p>
        </w:tc>
        <w:tc>
          <w:tcPr>
            <w:tcW w:w="709"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6DAEB271"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Podání konečných nabídek a jejich vyhodnocení</w:t>
            </w:r>
          </w:p>
        </w:tc>
        <w:tc>
          <w:tcPr>
            <w:tcW w:w="709"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62007F67"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Komerční uzavření (včetně schválení)</w:t>
            </w:r>
          </w:p>
        </w:tc>
        <w:tc>
          <w:tcPr>
            <w:tcW w:w="708" w:type="dxa"/>
            <w:tcBorders>
              <w:top w:val="single" w:sz="12" w:space="0" w:color="auto"/>
              <w:left w:val="nil"/>
              <w:bottom w:val="single" w:sz="12" w:space="0" w:color="auto"/>
              <w:right w:val="single" w:sz="4" w:space="0" w:color="auto"/>
            </w:tcBorders>
            <w:shd w:val="clear" w:color="000000" w:fill="D9E1F2"/>
            <w:textDirection w:val="tbRl"/>
            <w:vAlign w:val="center"/>
            <w:hideMark/>
          </w:tcPr>
          <w:p w14:paraId="4824710D"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Finanční uzavření</w:t>
            </w:r>
          </w:p>
        </w:tc>
        <w:tc>
          <w:tcPr>
            <w:tcW w:w="709" w:type="dxa"/>
            <w:tcBorders>
              <w:top w:val="single" w:sz="12" w:space="0" w:color="auto"/>
              <w:left w:val="nil"/>
              <w:bottom w:val="single" w:sz="12" w:space="0" w:color="auto"/>
              <w:right w:val="single" w:sz="12" w:space="0" w:color="auto"/>
            </w:tcBorders>
            <w:shd w:val="clear" w:color="000000" w:fill="D9E1F2"/>
            <w:textDirection w:val="tbRl"/>
            <w:vAlign w:val="center"/>
            <w:hideMark/>
          </w:tcPr>
          <w:p w14:paraId="3911E95F" w14:textId="77777777" w:rsidR="001A0550" w:rsidRPr="001A0550" w:rsidRDefault="001A0550" w:rsidP="006810B4">
            <w:pPr>
              <w:spacing w:before="0" w:after="0" w:line="240" w:lineRule="auto"/>
              <w:ind w:left="113" w:right="113"/>
              <w:jc w:val="center"/>
              <w:rPr>
                <w:rFonts w:eastAsia="Times New Roman" w:cs="Calibri"/>
                <w:color w:val="000000"/>
                <w:szCs w:val="18"/>
                <w:lang w:eastAsia="cs-CZ"/>
              </w:rPr>
            </w:pPr>
            <w:r w:rsidRPr="001A0550">
              <w:rPr>
                <w:rFonts w:eastAsia="Times New Roman" w:cs="Calibri"/>
                <w:color w:val="000000"/>
                <w:szCs w:val="18"/>
                <w:lang w:eastAsia="cs-CZ"/>
              </w:rPr>
              <w:t>Fáze výstavby</w:t>
            </w:r>
          </w:p>
        </w:tc>
      </w:tr>
      <w:tr w:rsidR="006810B4" w:rsidRPr="001A0550" w14:paraId="2B69B921" w14:textId="77777777" w:rsidTr="006810B4">
        <w:trPr>
          <w:trHeight w:val="315"/>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8F0F5DD" w14:textId="7F15977D" w:rsidR="001A0550" w:rsidRPr="001A0550" w:rsidRDefault="00820113" w:rsidP="001A0550">
            <w:pPr>
              <w:spacing w:before="0" w:after="0" w:line="240" w:lineRule="auto"/>
              <w:ind w:left="0"/>
              <w:rPr>
                <w:rFonts w:eastAsia="Times New Roman" w:cs="Calibri"/>
                <w:color w:val="000000"/>
                <w:szCs w:val="18"/>
                <w:lang w:eastAsia="cs-CZ"/>
              </w:rPr>
            </w:pPr>
            <w:proofErr w:type="spellStart"/>
            <w:r w:rsidRPr="006810B4">
              <w:rPr>
                <w:rFonts w:eastAsia="Times New Roman" w:cs="Calibri"/>
                <w:color w:val="000000"/>
                <w:szCs w:val="18"/>
                <w:lang w:eastAsia="cs-CZ"/>
              </w:rPr>
              <w:lastRenderedPageBreak/>
              <w:t>S</w:t>
            </w:r>
            <w:r w:rsidR="001A0550" w:rsidRPr="001A0550">
              <w:rPr>
                <w:rFonts w:eastAsia="Times New Roman" w:cs="Calibri"/>
                <w:color w:val="000000"/>
                <w:szCs w:val="18"/>
                <w:lang w:eastAsia="cs-CZ"/>
              </w:rPr>
              <w:t>tarts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2F15163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701601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IX-23</w:t>
            </w:r>
          </w:p>
        </w:tc>
        <w:tc>
          <w:tcPr>
            <w:tcW w:w="709" w:type="dxa"/>
            <w:tcBorders>
              <w:top w:val="nil"/>
              <w:left w:val="nil"/>
              <w:bottom w:val="single" w:sz="4" w:space="0" w:color="auto"/>
              <w:right w:val="single" w:sz="4" w:space="0" w:color="auto"/>
            </w:tcBorders>
            <w:shd w:val="clear" w:color="auto" w:fill="auto"/>
            <w:noWrap/>
            <w:vAlign w:val="bottom"/>
            <w:hideMark/>
          </w:tcPr>
          <w:p w14:paraId="6AD1449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I-24</w:t>
            </w:r>
          </w:p>
        </w:tc>
        <w:tc>
          <w:tcPr>
            <w:tcW w:w="708" w:type="dxa"/>
            <w:tcBorders>
              <w:top w:val="nil"/>
              <w:left w:val="nil"/>
              <w:bottom w:val="single" w:sz="4" w:space="0" w:color="auto"/>
              <w:right w:val="single" w:sz="4" w:space="0" w:color="auto"/>
            </w:tcBorders>
            <w:shd w:val="clear" w:color="auto" w:fill="auto"/>
            <w:noWrap/>
            <w:vAlign w:val="bottom"/>
            <w:hideMark/>
          </w:tcPr>
          <w:p w14:paraId="7940A7E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V-24</w:t>
            </w:r>
          </w:p>
        </w:tc>
        <w:tc>
          <w:tcPr>
            <w:tcW w:w="709" w:type="dxa"/>
            <w:tcBorders>
              <w:top w:val="nil"/>
              <w:left w:val="nil"/>
              <w:bottom w:val="single" w:sz="4" w:space="0" w:color="auto"/>
              <w:right w:val="single" w:sz="4" w:space="0" w:color="auto"/>
            </w:tcBorders>
            <w:shd w:val="clear" w:color="auto" w:fill="auto"/>
            <w:noWrap/>
            <w:vAlign w:val="bottom"/>
            <w:hideMark/>
          </w:tcPr>
          <w:p w14:paraId="4075FCF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IX-24</w:t>
            </w:r>
          </w:p>
        </w:tc>
        <w:tc>
          <w:tcPr>
            <w:tcW w:w="709" w:type="dxa"/>
            <w:tcBorders>
              <w:top w:val="nil"/>
              <w:left w:val="nil"/>
              <w:bottom w:val="single" w:sz="4" w:space="0" w:color="auto"/>
              <w:right w:val="single" w:sz="4" w:space="0" w:color="auto"/>
            </w:tcBorders>
            <w:shd w:val="clear" w:color="auto" w:fill="auto"/>
            <w:noWrap/>
            <w:vAlign w:val="bottom"/>
            <w:hideMark/>
          </w:tcPr>
          <w:p w14:paraId="09777F6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V-25</w:t>
            </w:r>
          </w:p>
        </w:tc>
        <w:tc>
          <w:tcPr>
            <w:tcW w:w="709" w:type="dxa"/>
            <w:tcBorders>
              <w:top w:val="nil"/>
              <w:left w:val="nil"/>
              <w:bottom w:val="single" w:sz="4" w:space="0" w:color="auto"/>
              <w:right w:val="single" w:sz="4" w:space="0" w:color="auto"/>
            </w:tcBorders>
            <w:shd w:val="clear" w:color="auto" w:fill="auto"/>
            <w:noWrap/>
            <w:vAlign w:val="bottom"/>
            <w:hideMark/>
          </w:tcPr>
          <w:p w14:paraId="485F782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IX-25</w:t>
            </w:r>
          </w:p>
        </w:tc>
        <w:tc>
          <w:tcPr>
            <w:tcW w:w="708" w:type="dxa"/>
            <w:tcBorders>
              <w:top w:val="nil"/>
              <w:left w:val="nil"/>
              <w:bottom w:val="single" w:sz="4" w:space="0" w:color="auto"/>
              <w:right w:val="single" w:sz="4" w:space="0" w:color="auto"/>
            </w:tcBorders>
            <w:shd w:val="clear" w:color="auto" w:fill="auto"/>
            <w:noWrap/>
            <w:vAlign w:val="bottom"/>
            <w:hideMark/>
          </w:tcPr>
          <w:p w14:paraId="1191FD1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XI-25</w:t>
            </w:r>
          </w:p>
        </w:tc>
        <w:tc>
          <w:tcPr>
            <w:tcW w:w="709" w:type="dxa"/>
            <w:tcBorders>
              <w:top w:val="nil"/>
              <w:left w:val="nil"/>
              <w:bottom w:val="single" w:sz="4" w:space="0" w:color="auto"/>
              <w:right w:val="single" w:sz="12" w:space="0" w:color="auto"/>
            </w:tcBorders>
            <w:shd w:val="clear" w:color="auto" w:fill="auto"/>
            <w:noWrap/>
            <w:vAlign w:val="bottom"/>
            <w:hideMark/>
          </w:tcPr>
          <w:p w14:paraId="28A70B5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I-26</w:t>
            </w:r>
          </w:p>
        </w:tc>
      </w:tr>
      <w:tr w:rsidR="006810B4" w:rsidRPr="001A0550" w14:paraId="69D2E2F2" w14:textId="77777777" w:rsidTr="006810B4">
        <w:trPr>
          <w:trHeight w:val="315"/>
        </w:trPr>
        <w:tc>
          <w:tcPr>
            <w:tcW w:w="1134" w:type="dxa"/>
            <w:tcBorders>
              <w:top w:val="nil"/>
              <w:left w:val="single" w:sz="12" w:space="0" w:color="auto"/>
              <w:bottom w:val="single" w:sz="12" w:space="0" w:color="auto"/>
              <w:right w:val="single" w:sz="4" w:space="0" w:color="auto"/>
            </w:tcBorders>
            <w:shd w:val="clear" w:color="000000" w:fill="D9E1F2"/>
            <w:noWrap/>
            <w:vAlign w:val="bottom"/>
            <w:hideMark/>
          </w:tcPr>
          <w:p w14:paraId="11F00241" w14:textId="0E2667FD" w:rsidR="001A0550" w:rsidRPr="001A0550" w:rsidRDefault="00820113" w:rsidP="001A0550">
            <w:pPr>
              <w:spacing w:before="0" w:after="0" w:line="240" w:lineRule="auto"/>
              <w:ind w:left="0"/>
              <w:rPr>
                <w:rFonts w:eastAsia="Times New Roman" w:cs="Calibri"/>
                <w:color w:val="000000"/>
                <w:szCs w:val="18"/>
                <w:lang w:eastAsia="cs-CZ"/>
              </w:rPr>
            </w:pPr>
            <w:proofErr w:type="spellStart"/>
            <w:r w:rsidRPr="006810B4">
              <w:rPr>
                <w:rFonts w:eastAsia="Times New Roman" w:cs="Calibri"/>
                <w:color w:val="000000"/>
                <w:szCs w:val="18"/>
                <w:lang w:eastAsia="cs-CZ"/>
              </w:rPr>
              <w:t>E</w:t>
            </w:r>
            <w:r w:rsidR="001A0550" w:rsidRPr="001A0550">
              <w:rPr>
                <w:rFonts w:eastAsia="Times New Roman" w:cs="Calibri"/>
                <w:color w:val="000000"/>
                <w:szCs w:val="18"/>
                <w:lang w:eastAsia="cs-CZ"/>
              </w:rPr>
              <w:t>nds</w:t>
            </w:r>
            <w:proofErr w:type="spellEnd"/>
          </w:p>
        </w:tc>
        <w:tc>
          <w:tcPr>
            <w:tcW w:w="709" w:type="dxa"/>
            <w:tcBorders>
              <w:top w:val="nil"/>
              <w:left w:val="nil"/>
              <w:bottom w:val="single" w:sz="12" w:space="0" w:color="auto"/>
              <w:right w:val="single" w:sz="4" w:space="0" w:color="auto"/>
            </w:tcBorders>
            <w:shd w:val="clear" w:color="auto" w:fill="auto"/>
            <w:noWrap/>
            <w:vAlign w:val="bottom"/>
            <w:hideMark/>
          </w:tcPr>
          <w:p w14:paraId="3F93343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VIII-23</w:t>
            </w:r>
          </w:p>
        </w:tc>
        <w:tc>
          <w:tcPr>
            <w:tcW w:w="709" w:type="dxa"/>
            <w:tcBorders>
              <w:top w:val="nil"/>
              <w:left w:val="nil"/>
              <w:bottom w:val="single" w:sz="12" w:space="0" w:color="auto"/>
              <w:right w:val="single" w:sz="4" w:space="0" w:color="auto"/>
            </w:tcBorders>
            <w:shd w:val="clear" w:color="auto" w:fill="auto"/>
            <w:noWrap/>
            <w:vAlign w:val="bottom"/>
            <w:hideMark/>
          </w:tcPr>
          <w:p w14:paraId="0D47934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XII-23</w:t>
            </w:r>
          </w:p>
        </w:tc>
        <w:tc>
          <w:tcPr>
            <w:tcW w:w="709" w:type="dxa"/>
            <w:tcBorders>
              <w:top w:val="nil"/>
              <w:left w:val="nil"/>
              <w:bottom w:val="single" w:sz="12" w:space="0" w:color="auto"/>
              <w:right w:val="single" w:sz="4" w:space="0" w:color="auto"/>
            </w:tcBorders>
            <w:shd w:val="clear" w:color="auto" w:fill="auto"/>
            <w:noWrap/>
            <w:vAlign w:val="bottom"/>
            <w:hideMark/>
          </w:tcPr>
          <w:p w14:paraId="0DE8D39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IV-24</w:t>
            </w:r>
          </w:p>
        </w:tc>
        <w:tc>
          <w:tcPr>
            <w:tcW w:w="708" w:type="dxa"/>
            <w:tcBorders>
              <w:top w:val="nil"/>
              <w:left w:val="nil"/>
              <w:bottom w:val="single" w:sz="12" w:space="0" w:color="auto"/>
              <w:right w:val="single" w:sz="4" w:space="0" w:color="auto"/>
            </w:tcBorders>
            <w:shd w:val="clear" w:color="auto" w:fill="auto"/>
            <w:noWrap/>
            <w:vAlign w:val="bottom"/>
            <w:hideMark/>
          </w:tcPr>
          <w:p w14:paraId="380A43C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VIII-24</w:t>
            </w:r>
          </w:p>
        </w:tc>
        <w:tc>
          <w:tcPr>
            <w:tcW w:w="709" w:type="dxa"/>
            <w:tcBorders>
              <w:top w:val="nil"/>
              <w:left w:val="nil"/>
              <w:bottom w:val="single" w:sz="12" w:space="0" w:color="auto"/>
              <w:right w:val="single" w:sz="4" w:space="0" w:color="auto"/>
            </w:tcBorders>
            <w:shd w:val="clear" w:color="auto" w:fill="auto"/>
            <w:noWrap/>
            <w:vAlign w:val="bottom"/>
            <w:hideMark/>
          </w:tcPr>
          <w:p w14:paraId="7CD7607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IV-25</w:t>
            </w:r>
          </w:p>
        </w:tc>
        <w:tc>
          <w:tcPr>
            <w:tcW w:w="709" w:type="dxa"/>
            <w:tcBorders>
              <w:top w:val="nil"/>
              <w:left w:val="nil"/>
              <w:bottom w:val="single" w:sz="12" w:space="0" w:color="auto"/>
              <w:right w:val="single" w:sz="4" w:space="0" w:color="auto"/>
            </w:tcBorders>
            <w:shd w:val="clear" w:color="auto" w:fill="auto"/>
            <w:noWrap/>
            <w:vAlign w:val="bottom"/>
            <w:hideMark/>
          </w:tcPr>
          <w:p w14:paraId="6D9D9FE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VIII-25</w:t>
            </w:r>
          </w:p>
        </w:tc>
        <w:tc>
          <w:tcPr>
            <w:tcW w:w="709" w:type="dxa"/>
            <w:tcBorders>
              <w:top w:val="nil"/>
              <w:left w:val="nil"/>
              <w:bottom w:val="single" w:sz="12" w:space="0" w:color="auto"/>
              <w:right w:val="single" w:sz="4" w:space="0" w:color="auto"/>
            </w:tcBorders>
            <w:shd w:val="clear" w:color="auto" w:fill="auto"/>
            <w:noWrap/>
            <w:vAlign w:val="bottom"/>
            <w:hideMark/>
          </w:tcPr>
          <w:p w14:paraId="530B80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X-25</w:t>
            </w:r>
          </w:p>
        </w:tc>
        <w:tc>
          <w:tcPr>
            <w:tcW w:w="708" w:type="dxa"/>
            <w:tcBorders>
              <w:top w:val="nil"/>
              <w:left w:val="nil"/>
              <w:bottom w:val="single" w:sz="12" w:space="0" w:color="auto"/>
              <w:right w:val="single" w:sz="4" w:space="0" w:color="auto"/>
            </w:tcBorders>
            <w:shd w:val="clear" w:color="auto" w:fill="auto"/>
            <w:noWrap/>
            <w:vAlign w:val="bottom"/>
            <w:hideMark/>
          </w:tcPr>
          <w:p w14:paraId="7B4737F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XII-25</w:t>
            </w:r>
          </w:p>
        </w:tc>
        <w:tc>
          <w:tcPr>
            <w:tcW w:w="709" w:type="dxa"/>
            <w:tcBorders>
              <w:top w:val="nil"/>
              <w:left w:val="nil"/>
              <w:bottom w:val="single" w:sz="12" w:space="0" w:color="auto"/>
              <w:right w:val="single" w:sz="12" w:space="0" w:color="auto"/>
            </w:tcBorders>
            <w:shd w:val="clear" w:color="auto" w:fill="auto"/>
            <w:noWrap/>
            <w:vAlign w:val="bottom"/>
            <w:hideMark/>
          </w:tcPr>
          <w:p w14:paraId="763BA91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XII-32</w:t>
            </w:r>
          </w:p>
        </w:tc>
      </w:tr>
      <w:tr w:rsidR="006810B4" w:rsidRPr="001A0550" w14:paraId="2375D83A" w14:textId="77777777" w:rsidTr="006810B4">
        <w:trPr>
          <w:trHeight w:val="315"/>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A59470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VIII-23</w:t>
            </w:r>
          </w:p>
        </w:tc>
        <w:tc>
          <w:tcPr>
            <w:tcW w:w="709" w:type="dxa"/>
            <w:tcBorders>
              <w:top w:val="nil"/>
              <w:left w:val="nil"/>
              <w:bottom w:val="single" w:sz="4" w:space="0" w:color="auto"/>
              <w:right w:val="single" w:sz="4" w:space="0" w:color="auto"/>
            </w:tcBorders>
            <w:shd w:val="clear" w:color="000000" w:fill="C6E0B4"/>
            <w:noWrap/>
            <w:vAlign w:val="bottom"/>
            <w:hideMark/>
          </w:tcPr>
          <w:p w14:paraId="2E071E6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226321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E5D03B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165198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E919FA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3A7497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3BA90F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75757F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2CD5DC6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5164ECF3"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7AF4FD5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IX-23</w:t>
            </w:r>
          </w:p>
        </w:tc>
        <w:tc>
          <w:tcPr>
            <w:tcW w:w="709" w:type="dxa"/>
            <w:tcBorders>
              <w:top w:val="nil"/>
              <w:left w:val="nil"/>
              <w:bottom w:val="single" w:sz="4" w:space="0" w:color="auto"/>
              <w:right w:val="single" w:sz="4" w:space="0" w:color="auto"/>
            </w:tcBorders>
            <w:shd w:val="clear" w:color="auto" w:fill="auto"/>
            <w:noWrap/>
            <w:vAlign w:val="bottom"/>
            <w:hideMark/>
          </w:tcPr>
          <w:p w14:paraId="23A8BFE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vAlign w:val="bottom"/>
            <w:hideMark/>
          </w:tcPr>
          <w:p w14:paraId="1BD63EE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538232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55A92C9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6216BA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B2B159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EE7553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2BBCC3E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03B4FD4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3E6E7343"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27E2F88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X-23</w:t>
            </w:r>
          </w:p>
        </w:tc>
        <w:tc>
          <w:tcPr>
            <w:tcW w:w="709" w:type="dxa"/>
            <w:tcBorders>
              <w:top w:val="nil"/>
              <w:left w:val="nil"/>
              <w:bottom w:val="single" w:sz="4" w:space="0" w:color="auto"/>
              <w:right w:val="single" w:sz="4" w:space="0" w:color="auto"/>
            </w:tcBorders>
            <w:shd w:val="clear" w:color="auto" w:fill="auto"/>
            <w:noWrap/>
            <w:vAlign w:val="bottom"/>
            <w:hideMark/>
          </w:tcPr>
          <w:p w14:paraId="4965FDA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68C0037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95207B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AFE80E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0A4B33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97C9B9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C6938A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1BAE7DB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1019877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6CD554EA"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2E48B06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XI-23</w:t>
            </w:r>
          </w:p>
        </w:tc>
        <w:tc>
          <w:tcPr>
            <w:tcW w:w="709" w:type="dxa"/>
            <w:tcBorders>
              <w:top w:val="nil"/>
              <w:left w:val="nil"/>
              <w:bottom w:val="single" w:sz="4" w:space="0" w:color="auto"/>
              <w:right w:val="single" w:sz="4" w:space="0" w:color="auto"/>
            </w:tcBorders>
            <w:shd w:val="clear" w:color="auto" w:fill="auto"/>
            <w:noWrap/>
            <w:vAlign w:val="bottom"/>
            <w:hideMark/>
          </w:tcPr>
          <w:p w14:paraId="35A50C5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17D6DE5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91C71B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342751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792820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A93AA8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E02B2C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1892125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6D6E32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176C41CB"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4F27779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XII-23</w:t>
            </w:r>
          </w:p>
        </w:tc>
        <w:tc>
          <w:tcPr>
            <w:tcW w:w="709" w:type="dxa"/>
            <w:tcBorders>
              <w:top w:val="nil"/>
              <w:left w:val="nil"/>
              <w:bottom w:val="single" w:sz="4" w:space="0" w:color="auto"/>
              <w:right w:val="single" w:sz="4" w:space="0" w:color="auto"/>
            </w:tcBorders>
            <w:shd w:val="clear" w:color="auto" w:fill="auto"/>
            <w:noWrap/>
            <w:vAlign w:val="bottom"/>
            <w:hideMark/>
          </w:tcPr>
          <w:p w14:paraId="38249D6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6FB62F7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B47959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4418B1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18263D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23C676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257946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74E5709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211E032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7B6F6A5F"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2F24D2E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I-24</w:t>
            </w:r>
          </w:p>
        </w:tc>
        <w:tc>
          <w:tcPr>
            <w:tcW w:w="709" w:type="dxa"/>
            <w:tcBorders>
              <w:top w:val="nil"/>
              <w:left w:val="nil"/>
              <w:bottom w:val="single" w:sz="4" w:space="0" w:color="auto"/>
              <w:right w:val="single" w:sz="4" w:space="0" w:color="auto"/>
            </w:tcBorders>
            <w:shd w:val="clear" w:color="auto" w:fill="auto"/>
            <w:noWrap/>
            <w:vAlign w:val="bottom"/>
            <w:hideMark/>
          </w:tcPr>
          <w:p w14:paraId="32BCA13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980BF8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2B3F5E2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90BD10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55F426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284289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316E0C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FBA390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662A2F8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1531E14A"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7C50AE2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II-24</w:t>
            </w:r>
          </w:p>
        </w:tc>
        <w:tc>
          <w:tcPr>
            <w:tcW w:w="709" w:type="dxa"/>
            <w:tcBorders>
              <w:top w:val="nil"/>
              <w:left w:val="nil"/>
              <w:bottom w:val="single" w:sz="4" w:space="0" w:color="auto"/>
              <w:right w:val="single" w:sz="4" w:space="0" w:color="auto"/>
            </w:tcBorders>
            <w:shd w:val="clear" w:color="auto" w:fill="auto"/>
            <w:noWrap/>
            <w:vAlign w:val="bottom"/>
            <w:hideMark/>
          </w:tcPr>
          <w:p w14:paraId="3E3600E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8CCBB8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2143640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160C0D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7D3250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A40D32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3F1C6A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D5DD63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53EF0F7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3B5457C7"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359C942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III-24</w:t>
            </w:r>
          </w:p>
        </w:tc>
        <w:tc>
          <w:tcPr>
            <w:tcW w:w="709" w:type="dxa"/>
            <w:tcBorders>
              <w:top w:val="nil"/>
              <w:left w:val="nil"/>
              <w:bottom w:val="single" w:sz="4" w:space="0" w:color="auto"/>
              <w:right w:val="single" w:sz="4" w:space="0" w:color="auto"/>
            </w:tcBorders>
            <w:shd w:val="clear" w:color="auto" w:fill="auto"/>
            <w:noWrap/>
            <w:vAlign w:val="bottom"/>
            <w:hideMark/>
          </w:tcPr>
          <w:p w14:paraId="52ED2FF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0567B6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40C9531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684B0F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B86660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E05C48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E517E0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75BDC1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5A16E4C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4EA0EC9F"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2DB835D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IV-24</w:t>
            </w:r>
          </w:p>
        </w:tc>
        <w:tc>
          <w:tcPr>
            <w:tcW w:w="709" w:type="dxa"/>
            <w:tcBorders>
              <w:top w:val="nil"/>
              <w:left w:val="nil"/>
              <w:bottom w:val="single" w:sz="4" w:space="0" w:color="auto"/>
              <w:right w:val="single" w:sz="4" w:space="0" w:color="auto"/>
            </w:tcBorders>
            <w:shd w:val="clear" w:color="auto" w:fill="auto"/>
            <w:noWrap/>
            <w:vAlign w:val="bottom"/>
            <w:hideMark/>
          </w:tcPr>
          <w:p w14:paraId="0EF5B2E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2DCF3D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7182D06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282B93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C087F2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D038F0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C93DE4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7FC353F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0378DC1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50FAF25F"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0EA2706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V-24</w:t>
            </w:r>
          </w:p>
        </w:tc>
        <w:tc>
          <w:tcPr>
            <w:tcW w:w="709" w:type="dxa"/>
            <w:tcBorders>
              <w:top w:val="nil"/>
              <w:left w:val="nil"/>
              <w:bottom w:val="single" w:sz="4" w:space="0" w:color="auto"/>
              <w:right w:val="single" w:sz="4" w:space="0" w:color="auto"/>
            </w:tcBorders>
            <w:shd w:val="clear" w:color="auto" w:fill="auto"/>
            <w:noWrap/>
            <w:vAlign w:val="bottom"/>
            <w:hideMark/>
          </w:tcPr>
          <w:p w14:paraId="08BF9ED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A3DCCD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FE81E0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000000" w:fill="C6E0B4"/>
            <w:noWrap/>
            <w:vAlign w:val="bottom"/>
            <w:hideMark/>
          </w:tcPr>
          <w:p w14:paraId="36D60A0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C4A993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4E4861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DF8A8D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7716E4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15A0B2E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20D074A5"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46310CC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VI-24</w:t>
            </w:r>
          </w:p>
        </w:tc>
        <w:tc>
          <w:tcPr>
            <w:tcW w:w="709" w:type="dxa"/>
            <w:tcBorders>
              <w:top w:val="nil"/>
              <w:left w:val="nil"/>
              <w:bottom w:val="single" w:sz="4" w:space="0" w:color="auto"/>
              <w:right w:val="single" w:sz="4" w:space="0" w:color="auto"/>
            </w:tcBorders>
            <w:shd w:val="clear" w:color="auto" w:fill="auto"/>
            <w:noWrap/>
            <w:vAlign w:val="bottom"/>
            <w:hideMark/>
          </w:tcPr>
          <w:p w14:paraId="62C478E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65EEF6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3128F0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000000" w:fill="C6E0B4"/>
            <w:noWrap/>
            <w:vAlign w:val="bottom"/>
            <w:hideMark/>
          </w:tcPr>
          <w:p w14:paraId="1A05756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E76C2C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D1BCAA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E3B1C0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CAEEF7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1E25879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129B4072"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781792E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VII-24</w:t>
            </w:r>
          </w:p>
        </w:tc>
        <w:tc>
          <w:tcPr>
            <w:tcW w:w="709" w:type="dxa"/>
            <w:tcBorders>
              <w:top w:val="nil"/>
              <w:left w:val="nil"/>
              <w:bottom w:val="single" w:sz="4" w:space="0" w:color="auto"/>
              <w:right w:val="single" w:sz="4" w:space="0" w:color="auto"/>
            </w:tcBorders>
            <w:shd w:val="clear" w:color="auto" w:fill="auto"/>
            <w:noWrap/>
            <w:vAlign w:val="bottom"/>
            <w:hideMark/>
          </w:tcPr>
          <w:p w14:paraId="3B6C04F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A06FED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96BAE7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000000" w:fill="C6E0B4"/>
            <w:noWrap/>
            <w:vAlign w:val="bottom"/>
            <w:hideMark/>
          </w:tcPr>
          <w:p w14:paraId="7311BB3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A48039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7BEDD8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045287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82DF4F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561C314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1CBB4F9E"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69040C1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VIII-24</w:t>
            </w:r>
          </w:p>
        </w:tc>
        <w:tc>
          <w:tcPr>
            <w:tcW w:w="709" w:type="dxa"/>
            <w:tcBorders>
              <w:top w:val="nil"/>
              <w:left w:val="nil"/>
              <w:bottom w:val="single" w:sz="4" w:space="0" w:color="auto"/>
              <w:right w:val="single" w:sz="4" w:space="0" w:color="auto"/>
            </w:tcBorders>
            <w:shd w:val="clear" w:color="auto" w:fill="auto"/>
            <w:noWrap/>
            <w:vAlign w:val="bottom"/>
            <w:hideMark/>
          </w:tcPr>
          <w:p w14:paraId="5B517EF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07FA53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BF100C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000000" w:fill="C6E0B4"/>
            <w:noWrap/>
            <w:vAlign w:val="bottom"/>
            <w:hideMark/>
          </w:tcPr>
          <w:p w14:paraId="07B779B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FFFFFF"/>
            <w:noWrap/>
            <w:vAlign w:val="bottom"/>
            <w:hideMark/>
          </w:tcPr>
          <w:p w14:paraId="24C4DD1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F616D2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7A54FC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2BF3552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115647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5C58D7F7"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8EA30F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IX-24</w:t>
            </w:r>
          </w:p>
        </w:tc>
        <w:tc>
          <w:tcPr>
            <w:tcW w:w="709" w:type="dxa"/>
            <w:tcBorders>
              <w:top w:val="nil"/>
              <w:left w:val="nil"/>
              <w:bottom w:val="single" w:sz="4" w:space="0" w:color="auto"/>
              <w:right w:val="single" w:sz="4" w:space="0" w:color="auto"/>
            </w:tcBorders>
            <w:shd w:val="clear" w:color="auto" w:fill="auto"/>
            <w:noWrap/>
            <w:vAlign w:val="bottom"/>
            <w:hideMark/>
          </w:tcPr>
          <w:p w14:paraId="2B6497D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D23055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3902DA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5D3413B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31E6431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9A8350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50804F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FB28DD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0FF8F19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726E42C2"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761FBB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X-24</w:t>
            </w:r>
          </w:p>
        </w:tc>
        <w:tc>
          <w:tcPr>
            <w:tcW w:w="709" w:type="dxa"/>
            <w:tcBorders>
              <w:top w:val="nil"/>
              <w:left w:val="nil"/>
              <w:bottom w:val="single" w:sz="4" w:space="0" w:color="auto"/>
              <w:right w:val="single" w:sz="4" w:space="0" w:color="auto"/>
            </w:tcBorders>
            <w:shd w:val="clear" w:color="auto" w:fill="auto"/>
            <w:noWrap/>
            <w:vAlign w:val="bottom"/>
            <w:hideMark/>
          </w:tcPr>
          <w:p w14:paraId="6502854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CBFE0E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8244EF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3F6516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1B9D463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B9C74F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C40FE2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2462FBE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0466AFA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2FE711B8"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0B03EE3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XI-24</w:t>
            </w:r>
          </w:p>
        </w:tc>
        <w:tc>
          <w:tcPr>
            <w:tcW w:w="709" w:type="dxa"/>
            <w:tcBorders>
              <w:top w:val="nil"/>
              <w:left w:val="nil"/>
              <w:bottom w:val="single" w:sz="4" w:space="0" w:color="auto"/>
              <w:right w:val="single" w:sz="4" w:space="0" w:color="auto"/>
            </w:tcBorders>
            <w:shd w:val="clear" w:color="auto" w:fill="auto"/>
            <w:noWrap/>
            <w:vAlign w:val="bottom"/>
            <w:hideMark/>
          </w:tcPr>
          <w:p w14:paraId="30D5558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33E9DF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43FE87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72C6439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3B1B322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D609ED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EB9BA2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5627382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9A2A6D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27C36749"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4E9F9F9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XII-24</w:t>
            </w:r>
          </w:p>
        </w:tc>
        <w:tc>
          <w:tcPr>
            <w:tcW w:w="709" w:type="dxa"/>
            <w:tcBorders>
              <w:top w:val="nil"/>
              <w:left w:val="nil"/>
              <w:bottom w:val="single" w:sz="4" w:space="0" w:color="auto"/>
              <w:right w:val="single" w:sz="4" w:space="0" w:color="auto"/>
            </w:tcBorders>
            <w:shd w:val="clear" w:color="auto" w:fill="auto"/>
            <w:noWrap/>
            <w:vAlign w:val="bottom"/>
            <w:hideMark/>
          </w:tcPr>
          <w:p w14:paraId="5CBAB60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1E617A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325B40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878A5B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177A7CB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10EDEB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2828D0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25687BF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4687E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76C66BAD"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0E5E1E4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I-25</w:t>
            </w:r>
          </w:p>
        </w:tc>
        <w:tc>
          <w:tcPr>
            <w:tcW w:w="709" w:type="dxa"/>
            <w:tcBorders>
              <w:top w:val="nil"/>
              <w:left w:val="nil"/>
              <w:bottom w:val="single" w:sz="4" w:space="0" w:color="auto"/>
              <w:right w:val="single" w:sz="4" w:space="0" w:color="auto"/>
            </w:tcBorders>
            <w:shd w:val="clear" w:color="auto" w:fill="auto"/>
            <w:noWrap/>
            <w:vAlign w:val="bottom"/>
            <w:hideMark/>
          </w:tcPr>
          <w:p w14:paraId="4BBC83E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A1DF7C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AB7A7F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2B2C52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5F426BF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235CEA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545E5A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5587798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494F002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63829DB8"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351DC7E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II-25</w:t>
            </w:r>
          </w:p>
        </w:tc>
        <w:tc>
          <w:tcPr>
            <w:tcW w:w="709" w:type="dxa"/>
            <w:tcBorders>
              <w:top w:val="nil"/>
              <w:left w:val="nil"/>
              <w:bottom w:val="single" w:sz="4" w:space="0" w:color="auto"/>
              <w:right w:val="single" w:sz="4" w:space="0" w:color="auto"/>
            </w:tcBorders>
            <w:shd w:val="clear" w:color="auto" w:fill="auto"/>
            <w:noWrap/>
            <w:vAlign w:val="bottom"/>
            <w:hideMark/>
          </w:tcPr>
          <w:p w14:paraId="528BC78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7719C1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C7E24B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E52DB0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5BA9092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ED23D0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27BC6B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182B1C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4DEBA0B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5368B5C5"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24E98FF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III-25</w:t>
            </w:r>
          </w:p>
        </w:tc>
        <w:tc>
          <w:tcPr>
            <w:tcW w:w="709" w:type="dxa"/>
            <w:tcBorders>
              <w:top w:val="nil"/>
              <w:left w:val="nil"/>
              <w:bottom w:val="single" w:sz="4" w:space="0" w:color="auto"/>
              <w:right w:val="single" w:sz="4" w:space="0" w:color="auto"/>
            </w:tcBorders>
            <w:shd w:val="clear" w:color="auto" w:fill="auto"/>
            <w:noWrap/>
            <w:vAlign w:val="bottom"/>
            <w:hideMark/>
          </w:tcPr>
          <w:p w14:paraId="2F457ED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82055E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B8C373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D2E161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2C12282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F9C2C8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565EDC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225F828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451F0DF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163D4B9E"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7312210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IV-25</w:t>
            </w:r>
          </w:p>
        </w:tc>
        <w:tc>
          <w:tcPr>
            <w:tcW w:w="709" w:type="dxa"/>
            <w:tcBorders>
              <w:top w:val="nil"/>
              <w:left w:val="nil"/>
              <w:bottom w:val="single" w:sz="4" w:space="0" w:color="auto"/>
              <w:right w:val="single" w:sz="4" w:space="0" w:color="auto"/>
            </w:tcBorders>
            <w:shd w:val="clear" w:color="auto" w:fill="auto"/>
            <w:noWrap/>
            <w:vAlign w:val="bottom"/>
            <w:hideMark/>
          </w:tcPr>
          <w:p w14:paraId="1989066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8C815C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EF95EF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6FBE2A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6D6B0D0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EDF425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60024F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1E972E7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28DF369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2BA6B596"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488AB84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V-25</w:t>
            </w:r>
          </w:p>
        </w:tc>
        <w:tc>
          <w:tcPr>
            <w:tcW w:w="709" w:type="dxa"/>
            <w:tcBorders>
              <w:top w:val="nil"/>
              <w:left w:val="nil"/>
              <w:bottom w:val="single" w:sz="4" w:space="0" w:color="auto"/>
              <w:right w:val="single" w:sz="4" w:space="0" w:color="auto"/>
            </w:tcBorders>
            <w:shd w:val="clear" w:color="auto" w:fill="auto"/>
            <w:noWrap/>
            <w:vAlign w:val="bottom"/>
            <w:hideMark/>
          </w:tcPr>
          <w:p w14:paraId="0CCD3BE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87F4C1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6977D1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7CA636D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F93AAE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2F0F577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A9B9FB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F4AF26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941C81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3CF4AC51"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3591060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VI-25</w:t>
            </w:r>
          </w:p>
        </w:tc>
        <w:tc>
          <w:tcPr>
            <w:tcW w:w="709" w:type="dxa"/>
            <w:tcBorders>
              <w:top w:val="nil"/>
              <w:left w:val="nil"/>
              <w:bottom w:val="single" w:sz="4" w:space="0" w:color="auto"/>
              <w:right w:val="single" w:sz="4" w:space="0" w:color="auto"/>
            </w:tcBorders>
            <w:shd w:val="clear" w:color="auto" w:fill="auto"/>
            <w:noWrap/>
            <w:vAlign w:val="bottom"/>
            <w:hideMark/>
          </w:tcPr>
          <w:p w14:paraId="17A1C9F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4CCABE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AEC24E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0504CD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39FCFC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04F30E0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B6E5C1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53CEC82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EE0464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5A9FA2F7"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118384C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VII-25</w:t>
            </w:r>
          </w:p>
        </w:tc>
        <w:tc>
          <w:tcPr>
            <w:tcW w:w="709" w:type="dxa"/>
            <w:tcBorders>
              <w:top w:val="nil"/>
              <w:left w:val="nil"/>
              <w:bottom w:val="single" w:sz="4" w:space="0" w:color="auto"/>
              <w:right w:val="single" w:sz="4" w:space="0" w:color="auto"/>
            </w:tcBorders>
            <w:shd w:val="clear" w:color="auto" w:fill="auto"/>
            <w:noWrap/>
            <w:vAlign w:val="bottom"/>
            <w:hideMark/>
          </w:tcPr>
          <w:p w14:paraId="7D8AA37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AADAA6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36FF93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79B919E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D23D27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724D07F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036D96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233E51D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28D6FC7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4128AACA"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393BB9B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VIII-25</w:t>
            </w:r>
          </w:p>
        </w:tc>
        <w:tc>
          <w:tcPr>
            <w:tcW w:w="709" w:type="dxa"/>
            <w:tcBorders>
              <w:top w:val="nil"/>
              <w:left w:val="nil"/>
              <w:bottom w:val="single" w:sz="4" w:space="0" w:color="auto"/>
              <w:right w:val="single" w:sz="4" w:space="0" w:color="auto"/>
            </w:tcBorders>
            <w:shd w:val="clear" w:color="auto" w:fill="auto"/>
            <w:noWrap/>
            <w:vAlign w:val="bottom"/>
            <w:hideMark/>
          </w:tcPr>
          <w:p w14:paraId="435189F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A2677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0BCF7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C69509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F45B37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700259FB" w14:textId="77777777" w:rsidR="001A0550" w:rsidRPr="001A0550" w:rsidRDefault="001A0550" w:rsidP="001A0550">
            <w:pPr>
              <w:spacing w:before="0" w:after="0" w:line="240" w:lineRule="auto"/>
              <w:ind w:left="0"/>
              <w:rPr>
                <w:rFonts w:eastAsia="Times New Roman" w:cs="Calibri"/>
                <w:color w:val="C6E0B4"/>
                <w:szCs w:val="18"/>
                <w:u w:val="single"/>
                <w:lang w:eastAsia="cs-CZ"/>
              </w:rPr>
            </w:pPr>
            <w:r w:rsidRPr="001A0550">
              <w:rPr>
                <w:rFonts w:eastAsia="Times New Roman" w:cs="Calibri"/>
                <w:color w:val="C6E0B4"/>
                <w:szCs w:val="18"/>
                <w:u w:val="single"/>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542E12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11C46F7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7F4B0A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221E7EB3"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02CD7D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IX-25</w:t>
            </w:r>
          </w:p>
        </w:tc>
        <w:tc>
          <w:tcPr>
            <w:tcW w:w="709" w:type="dxa"/>
            <w:tcBorders>
              <w:top w:val="nil"/>
              <w:left w:val="nil"/>
              <w:bottom w:val="single" w:sz="4" w:space="0" w:color="auto"/>
              <w:right w:val="single" w:sz="4" w:space="0" w:color="auto"/>
            </w:tcBorders>
            <w:shd w:val="clear" w:color="auto" w:fill="auto"/>
            <w:noWrap/>
            <w:vAlign w:val="bottom"/>
            <w:hideMark/>
          </w:tcPr>
          <w:p w14:paraId="6361C98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97DC34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8BA005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2ACF41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01DA77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CAE838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5DF7E5B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A33C4D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7F134A8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4AEE001F"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06EF5D4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X-25</w:t>
            </w:r>
          </w:p>
        </w:tc>
        <w:tc>
          <w:tcPr>
            <w:tcW w:w="709" w:type="dxa"/>
            <w:tcBorders>
              <w:top w:val="nil"/>
              <w:left w:val="nil"/>
              <w:bottom w:val="single" w:sz="4" w:space="0" w:color="auto"/>
              <w:right w:val="single" w:sz="4" w:space="0" w:color="auto"/>
            </w:tcBorders>
            <w:shd w:val="clear" w:color="auto" w:fill="auto"/>
            <w:noWrap/>
            <w:vAlign w:val="bottom"/>
            <w:hideMark/>
          </w:tcPr>
          <w:p w14:paraId="27DAA59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A0E82A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9B7AF8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6D61DA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1F3D0F7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487737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000000" w:fill="C6E0B4"/>
            <w:noWrap/>
            <w:vAlign w:val="bottom"/>
            <w:hideMark/>
          </w:tcPr>
          <w:p w14:paraId="5B6491C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C38CC4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6A01322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3BFF4090"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27878C1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XI-25</w:t>
            </w:r>
          </w:p>
        </w:tc>
        <w:tc>
          <w:tcPr>
            <w:tcW w:w="709" w:type="dxa"/>
            <w:tcBorders>
              <w:top w:val="nil"/>
              <w:left w:val="nil"/>
              <w:bottom w:val="single" w:sz="4" w:space="0" w:color="auto"/>
              <w:right w:val="single" w:sz="4" w:space="0" w:color="auto"/>
            </w:tcBorders>
            <w:shd w:val="clear" w:color="auto" w:fill="auto"/>
            <w:noWrap/>
            <w:vAlign w:val="bottom"/>
            <w:hideMark/>
          </w:tcPr>
          <w:p w14:paraId="161523B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409195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C1F3A3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50813C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1EAEEE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CDB6C8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8DE7C3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000000" w:fill="C6E0B4"/>
            <w:noWrap/>
            <w:vAlign w:val="bottom"/>
            <w:hideMark/>
          </w:tcPr>
          <w:p w14:paraId="6A50EEC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auto" w:fill="auto"/>
            <w:noWrap/>
            <w:vAlign w:val="bottom"/>
            <w:hideMark/>
          </w:tcPr>
          <w:p w14:paraId="3DE6029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05EC5CA0" w14:textId="77777777" w:rsidTr="006810B4">
        <w:trPr>
          <w:trHeight w:val="315"/>
        </w:trPr>
        <w:tc>
          <w:tcPr>
            <w:tcW w:w="1134" w:type="dxa"/>
            <w:tcBorders>
              <w:top w:val="nil"/>
              <w:left w:val="single" w:sz="12" w:space="0" w:color="auto"/>
              <w:bottom w:val="single" w:sz="12" w:space="0" w:color="auto"/>
              <w:right w:val="single" w:sz="4" w:space="0" w:color="auto"/>
            </w:tcBorders>
            <w:shd w:val="clear" w:color="000000" w:fill="D9E1F2"/>
            <w:noWrap/>
            <w:vAlign w:val="bottom"/>
            <w:hideMark/>
          </w:tcPr>
          <w:p w14:paraId="4A5CB3FF"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XII-25</w:t>
            </w:r>
          </w:p>
        </w:tc>
        <w:tc>
          <w:tcPr>
            <w:tcW w:w="709" w:type="dxa"/>
            <w:tcBorders>
              <w:top w:val="nil"/>
              <w:left w:val="nil"/>
              <w:bottom w:val="single" w:sz="12" w:space="0" w:color="auto"/>
              <w:right w:val="single" w:sz="4" w:space="0" w:color="auto"/>
            </w:tcBorders>
            <w:shd w:val="clear" w:color="auto" w:fill="auto"/>
            <w:noWrap/>
            <w:vAlign w:val="bottom"/>
            <w:hideMark/>
          </w:tcPr>
          <w:p w14:paraId="617215C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70B957F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11708A2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12" w:space="0" w:color="auto"/>
              <w:right w:val="single" w:sz="4" w:space="0" w:color="auto"/>
            </w:tcBorders>
            <w:shd w:val="clear" w:color="auto" w:fill="auto"/>
            <w:noWrap/>
            <w:vAlign w:val="bottom"/>
            <w:hideMark/>
          </w:tcPr>
          <w:p w14:paraId="2571CC7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19BDF58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278219E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4527D00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12" w:space="0" w:color="auto"/>
              <w:right w:val="single" w:sz="4" w:space="0" w:color="auto"/>
            </w:tcBorders>
            <w:shd w:val="clear" w:color="000000" w:fill="C6E0B4"/>
            <w:noWrap/>
            <w:vAlign w:val="bottom"/>
            <w:hideMark/>
          </w:tcPr>
          <w:p w14:paraId="2363E5E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12" w:space="0" w:color="auto"/>
            </w:tcBorders>
            <w:shd w:val="clear" w:color="auto" w:fill="auto"/>
            <w:noWrap/>
            <w:vAlign w:val="bottom"/>
            <w:hideMark/>
          </w:tcPr>
          <w:p w14:paraId="4A78589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4D15BDF2" w14:textId="77777777" w:rsidTr="006810B4">
        <w:trPr>
          <w:trHeight w:val="315"/>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7AA149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I-26</w:t>
            </w:r>
          </w:p>
        </w:tc>
        <w:tc>
          <w:tcPr>
            <w:tcW w:w="709" w:type="dxa"/>
            <w:tcBorders>
              <w:top w:val="nil"/>
              <w:left w:val="nil"/>
              <w:bottom w:val="single" w:sz="4" w:space="0" w:color="auto"/>
              <w:right w:val="single" w:sz="4" w:space="0" w:color="auto"/>
            </w:tcBorders>
            <w:shd w:val="clear" w:color="auto" w:fill="auto"/>
            <w:noWrap/>
            <w:vAlign w:val="bottom"/>
            <w:hideMark/>
          </w:tcPr>
          <w:p w14:paraId="32E4634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EC1A21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5750E0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56A7CDC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E8E1DB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2D16C7D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DFCDB7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487C611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000000" w:fill="FFC000"/>
            <w:noWrap/>
            <w:vAlign w:val="bottom"/>
            <w:hideMark/>
          </w:tcPr>
          <w:p w14:paraId="66A46DD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34426A54"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5624D0A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II-26</w:t>
            </w:r>
          </w:p>
        </w:tc>
        <w:tc>
          <w:tcPr>
            <w:tcW w:w="709" w:type="dxa"/>
            <w:tcBorders>
              <w:top w:val="nil"/>
              <w:left w:val="nil"/>
              <w:bottom w:val="single" w:sz="4" w:space="0" w:color="auto"/>
              <w:right w:val="single" w:sz="4" w:space="0" w:color="auto"/>
            </w:tcBorders>
            <w:shd w:val="clear" w:color="auto" w:fill="auto"/>
            <w:noWrap/>
            <w:vAlign w:val="bottom"/>
            <w:hideMark/>
          </w:tcPr>
          <w:p w14:paraId="5D651AB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ABEB0F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098402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7BE145F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0C4631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7BDF55A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1E4F3D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76AED0D"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000000" w:fill="FFC000"/>
            <w:noWrap/>
            <w:vAlign w:val="bottom"/>
            <w:hideMark/>
          </w:tcPr>
          <w:p w14:paraId="2C14C7D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6172F4CF" w14:textId="77777777" w:rsidTr="006810B4">
        <w:trPr>
          <w:trHeight w:val="300"/>
        </w:trPr>
        <w:tc>
          <w:tcPr>
            <w:tcW w:w="1134" w:type="dxa"/>
            <w:tcBorders>
              <w:top w:val="nil"/>
              <w:left w:val="single" w:sz="12" w:space="0" w:color="auto"/>
              <w:bottom w:val="single" w:sz="4" w:space="0" w:color="auto"/>
              <w:right w:val="single" w:sz="4" w:space="0" w:color="auto"/>
            </w:tcBorders>
            <w:shd w:val="clear" w:color="000000" w:fill="D9E1F2"/>
            <w:noWrap/>
            <w:vAlign w:val="bottom"/>
            <w:hideMark/>
          </w:tcPr>
          <w:p w14:paraId="72F5E45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III-26</w:t>
            </w:r>
          </w:p>
        </w:tc>
        <w:tc>
          <w:tcPr>
            <w:tcW w:w="709" w:type="dxa"/>
            <w:tcBorders>
              <w:top w:val="nil"/>
              <w:left w:val="nil"/>
              <w:bottom w:val="single" w:sz="4" w:space="0" w:color="auto"/>
              <w:right w:val="single" w:sz="4" w:space="0" w:color="auto"/>
            </w:tcBorders>
            <w:shd w:val="clear" w:color="auto" w:fill="auto"/>
            <w:noWrap/>
            <w:vAlign w:val="bottom"/>
            <w:hideMark/>
          </w:tcPr>
          <w:p w14:paraId="5E45D6EA"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3852ABD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697595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074ADFE2"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5E7B97F3"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46811D9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4" w:space="0" w:color="auto"/>
            </w:tcBorders>
            <w:shd w:val="clear" w:color="auto" w:fill="auto"/>
            <w:noWrap/>
            <w:vAlign w:val="bottom"/>
            <w:hideMark/>
          </w:tcPr>
          <w:p w14:paraId="625A1628"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4" w:space="0" w:color="auto"/>
              <w:right w:val="single" w:sz="4" w:space="0" w:color="auto"/>
            </w:tcBorders>
            <w:shd w:val="clear" w:color="auto" w:fill="auto"/>
            <w:noWrap/>
            <w:vAlign w:val="bottom"/>
            <w:hideMark/>
          </w:tcPr>
          <w:p w14:paraId="3510DB9E"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4" w:space="0" w:color="auto"/>
              <w:right w:val="single" w:sz="12" w:space="0" w:color="auto"/>
            </w:tcBorders>
            <w:shd w:val="clear" w:color="000000" w:fill="FFC000"/>
            <w:noWrap/>
            <w:vAlign w:val="bottom"/>
            <w:hideMark/>
          </w:tcPr>
          <w:p w14:paraId="62C60321"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r w:rsidR="006810B4" w:rsidRPr="001A0550" w14:paraId="27F3144B" w14:textId="77777777" w:rsidTr="006810B4">
        <w:trPr>
          <w:trHeight w:val="315"/>
        </w:trPr>
        <w:tc>
          <w:tcPr>
            <w:tcW w:w="1134" w:type="dxa"/>
            <w:tcBorders>
              <w:top w:val="nil"/>
              <w:left w:val="single" w:sz="12" w:space="0" w:color="auto"/>
              <w:bottom w:val="single" w:sz="12" w:space="0" w:color="auto"/>
              <w:right w:val="single" w:sz="4" w:space="0" w:color="auto"/>
            </w:tcBorders>
            <w:shd w:val="clear" w:color="000000" w:fill="D9E1F2"/>
            <w:noWrap/>
            <w:vAlign w:val="bottom"/>
            <w:hideMark/>
          </w:tcPr>
          <w:p w14:paraId="122691A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w:t>
            </w:r>
          </w:p>
        </w:tc>
        <w:tc>
          <w:tcPr>
            <w:tcW w:w="709" w:type="dxa"/>
            <w:tcBorders>
              <w:top w:val="nil"/>
              <w:left w:val="nil"/>
              <w:bottom w:val="single" w:sz="12" w:space="0" w:color="auto"/>
              <w:right w:val="single" w:sz="4" w:space="0" w:color="auto"/>
            </w:tcBorders>
            <w:shd w:val="clear" w:color="auto" w:fill="auto"/>
            <w:noWrap/>
            <w:vAlign w:val="bottom"/>
            <w:hideMark/>
          </w:tcPr>
          <w:p w14:paraId="6CAE6F15"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7AE87A67"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43ACB256"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12" w:space="0" w:color="auto"/>
              <w:right w:val="single" w:sz="4" w:space="0" w:color="auto"/>
            </w:tcBorders>
            <w:shd w:val="clear" w:color="auto" w:fill="auto"/>
            <w:noWrap/>
            <w:vAlign w:val="bottom"/>
            <w:hideMark/>
          </w:tcPr>
          <w:p w14:paraId="53425CE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33F273E4"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7754BC3B"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4" w:space="0" w:color="auto"/>
            </w:tcBorders>
            <w:shd w:val="clear" w:color="auto" w:fill="auto"/>
            <w:noWrap/>
            <w:vAlign w:val="bottom"/>
            <w:hideMark/>
          </w:tcPr>
          <w:p w14:paraId="08C60B70"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8" w:type="dxa"/>
            <w:tcBorders>
              <w:top w:val="nil"/>
              <w:left w:val="nil"/>
              <w:bottom w:val="single" w:sz="12" w:space="0" w:color="auto"/>
              <w:right w:val="single" w:sz="4" w:space="0" w:color="auto"/>
            </w:tcBorders>
            <w:shd w:val="clear" w:color="auto" w:fill="auto"/>
            <w:noWrap/>
            <w:vAlign w:val="bottom"/>
            <w:hideMark/>
          </w:tcPr>
          <w:p w14:paraId="30B17FA9"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c>
          <w:tcPr>
            <w:tcW w:w="709" w:type="dxa"/>
            <w:tcBorders>
              <w:top w:val="nil"/>
              <w:left w:val="nil"/>
              <w:bottom w:val="single" w:sz="12" w:space="0" w:color="auto"/>
              <w:right w:val="single" w:sz="12" w:space="0" w:color="auto"/>
            </w:tcBorders>
            <w:shd w:val="clear" w:color="000000" w:fill="FFC000"/>
            <w:noWrap/>
            <w:vAlign w:val="bottom"/>
            <w:hideMark/>
          </w:tcPr>
          <w:p w14:paraId="247B442C" w14:textId="77777777" w:rsidR="001A0550" w:rsidRPr="001A0550" w:rsidRDefault="001A0550" w:rsidP="001A0550">
            <w:pPr>
              <w:spacing w:before="0" w:after="0" w:line="240" w:lineRule="auto"/>
              <w:ind w:left="0"/>
              <w:rPr>
                <w:rFonts w:eastAsia="Times New Roman" w:cs="Calibri"/>
                <w:color w:val="000000"/>
                <w:szCs w:val="18"/>
                <w:lang w:eastAsia="cs-CZ"/>
              </w:rPr>
            </w:pPr>
            <w:r w:rsidRPr="001A0550">
              <w:rPr>
                <w:rFonts w:eastAsia="Times New Roman" w:cs="Calibri"/>
                <w:color w:val="000000"/>
                <w:szCs w:val="18"/>
                <w:lang w:eastAsia="cs-CZ"/>
              </w:rPr>
              <w:t> </w:t>
            </w:r>
          </w:p>
        </w:tc>
      </w:tr>
    </w:tbl>
    <w:p w14:paraId="60915F0A" w14:textId="77777777" w:rsidR="001A0550" w:rsidRPr="001A0550" w:rsidRDefault="001A0550" w:rsidP="00925A84">
      <w:pPr>
        <w:spacing w:before="0" w:after="0"/>
        <w:ind w:left="0"/>
      </w:pPr>
    </w:p>
    <w:p w14:paraId="32806523" w14:textId="77777777" w:rsidR="00B258D0" w:rsidRPr="001549EC" w:rsidRDefault="00B258D0" w:rsidP="001F456E">
      <w:pPr>
        <w:pStyle w:val="Nadpis1"/>
        <w:keepLines w:val="0"/>
      </w:pPr>
      <w:bookmarkStart w:id="4" w:name="_Toc59538672"/>
      <w:r w:rsidRPr="001549EC">
        <w:lastRenderedPageBreak/>
        <w:t>Prohlídka místa plnění:</w:t>
      </w:r>
    </w:p>
    <w:p w14:paraId="2F1ACEE8" w14:textId="79145A93" w:rsidR="00B258D0" w:rsidRDefault="00B258D0" w:rsidP="00646BC3">
      <w:pPr>
        <w:pStyle w:val="Nadpis2"/>
      </w:pPr>
      <w:r w:rsidRPr="001549EC">
        <w:rPr>
          <w:u w:color="000000"/>
          <w:bdr w:val="nil"/>
        </w:rPr>
        <w:t>Zadavatel neprovádí prohlídku místa plnění ve smyslu ustanovení § 97 ZZVZ, neboť její uskutečnění není pro účely průběhu zadávacího řízení či plnění veřejné zakázky nezbytné.</w:t>
      </w:r>
    </w:p>
    <w:p w14:paraId="4BEDD54F" w14:textId="24F39152" w:rsidR="00AD1854" w:rsidRPr="001549EC" w:rsidRDefault="00AD1854" w:rsidP="008C39D7">
      <w:pPr>
        <w:pStyle w:val="Nadpis1"/>
        <w:keepLines w:val="0"/>
      </w:pPr>
      <w:r w:rsidRPr="001549EC">
        <w:t>S</w:t>
      </w:r>
      <w:r w:rsidR="00F60882" w:rsidRPr="001549EC">
        <w:t xml:space="preserve">ociálně a environmentálně odpovědné zadávání, inovace </w:t>
      </w:r>
      <w:bookmarkEnd w:id="4"/>
    </w:p>
    <w:p w14:paraId="1289F1EB" w14:textId="4C9ED37E" w:rsidR="008315F8" w:rsidRPr="00E6314C" w:rsidRDefault="008315F8" w:rsidP="00646BC3">
      <w:pPr>
        <w:pStyle w:val="podlnek"/>
        <w:ind w:left="567"/>
        <w:rPr>
          <w:b w:val="0"/>
          <w:bCs/>
          <w:lang w:eastAsia="cs-CZ"/>
        </w:rPr>
      </w:pPr>
      <w:r w:rsidRPr="00E6314C">
        <w:rPr>
          <w:b w:val="0"/>
          <w:bCs/>
          <w:lang w:eastAsia="cs-CZ"/>
        </w:rPr>
        <w:t xml:space="preserve">Zadavatel při vytváření zadávacích podmínek, včetně pravidel pro hodnocení nabídek, a výběru dodavatele, postupoval tak, aby analogicky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velmi dynamicky </w:t>
      </w:r>
      <w:r w:rsidR="00A277E3">
        <w:rPr>
          <w:b w:val="0"/>
          <w:bCs/>
          <w:lang w:eastAsia="cs-CZ"/>
        </w:rPr>
        <w:t xml:space="preserve">se </w:t>
      </w:r>
      <w:r w:rsidRPr="00E6314C">
        <w:rPr>
          <w:b w:val="0"/>
          <w:bCs/>
          <w:lang w:eastAsia="cs-CZ"/>
        </w:rPr>
        <w:t>vyvíjejícím institutem veřejného zadávání, zadavatel při vytváření zadávacích podmínek zvažoval použití zejména těch prvků odpovědného zadávání, které byly v době vytváření zadávacích podmínek jednoznačně vymezitelné a vymahatelné, a současně byla u nich</w:t>
      </w:r>
      <w:r w:rsidR="003E30EE">
        <w:rPr>
          <w:b w:val="0"/>
          <w:bCs/>
          <w:lang w:eastAsia="cs-CZ"/>
        </w:rPr>
        <w:t xml:space="preserve"> byla</w:t>
      </w:r>
      <w:r w:rsidRPr="00E6314C">
        <w:rPr>
          <w:b w:val="0"/>
          <w:bCs/>
          <w:lang w:eastAsia="cs-CZ"/>
        </w:rPr>
        <w:t xml:space="preserve"> vysoká míra jistoty, že zadavatel jejich aplikací neporuší ostatní zásady uvedené v § 6 ZZVZ a také principy 3E vyplývající ze zákona č. 320/</w:t>
      </w:r>
      <w:r w:rsidR="005943D1">
        <w:rPr>
          <w:b w:val="0"/>
          <w:bCs/>
          <w:lang w:eastAsia="cs-CZ"/>
        </w:rPr>
        <w:t>2001</w:t>
      </w:r>
      <w:r w:rsidRPr="00E6314C">
        <w:rPr>
          <w:b w:val="0"/>
          <w:bCs/>
          <w:lang w:eastAsia="cs-CZ"/>
        </w:rPr>
        <w:t xml:space="preserve"> Sb., o finanční kontrole ve veřejné správě. </w:t>
      </w:r>
    </w:p>
    <w:p w14:paraId="51128B07" w14:textId="4779C351" w:rsidR="008315F8" w:rsidRPr="00787C7A" w:rsidRDefault="008315F8" w:rsidP="00646BC3">
      <w:pPr>
        <w:pStyle w:val="podlnek"/>
        <w:ind w:left="567"/>
        <w:rPr>
          <w:b w:val="0"/>
          <w:bCs/>
          <w:lang w:eastAsia="cs-CZ"/>
        </w:rPr>
      </w:pPr>
      <w:r w:rsidRPr="00787C7A">
        <w:rPr>
          <w:b w:val="0"/>
          <w:bCs/>
          <w:lang w:eastAsia="cs-CZ"/>
        </w:rPr>
        <w:t xml:space="preserve">Zadavatel aplikuje </w:t>
      </w:r>
      <w:r w:rsidR="00887060" w:rsidRPr="00787C7A">
        <w:rPr>
          <w:b w:val="0"/>
          <w:bCs/>
          <w:lang w:eastAsia="cs-CZ"/>
        </w:rPr>
        <w:t>v zadávacím ř</w:t>
      </w:r>
      <w:r w:rsidRPr="00787C7A">
        <w:rPr>
          <w:b w:val="0"/>
          <w:bCs/>
          <w:lang w:eastAsia="cs-CZ"/>
        </w:rPr>
        <w:t>ízení níže uvedené prvky odpovědného zadávání:</w:t>
      </w:r>
    </w:p>
    <w:p w14:paraId="4F6C7065" w14:textId="33BF390D" w:rsidR="008315F8" w:rsidRPr="008315F8" w:rsidRDefault="008315F8" w:rsidP="00646BC3">
      <w:pPr>
        <w:pStyle w:val="Nadpis2"/>
        <w:rPr>
          <w:lang w:eastAsia="cs-CZ"/>
        </w:rPr>
      </w:pPr>
      <w:r w:rsidRPr="008315F8">
        <w:rPr>
          <w:lang w:eastAsia="cs-CZ"/>
        </w:rPr>
        <w:t xml:space="preserve">Snížení administrativní náročnosti při zapracování nabídky – </w:t>
      </w:r>
      <w:r w:rsidR="009C1EB0">
        <w:rPr>
          <w:lang w:eastAsia="cs-CZ"/>
        </w:rPr>
        <w:t>z</w:t>
      </w:r>
      <w:r w:rsidRPr="008315F8">
        <w:rPr>
          <w:lang w:eastAsia="cs-CZ"/>
        </w:rPr>
        <w:t xml:space="preserve">adavatel pro snížení administrativní náročnosti při zpracování nabídek pro dodavatele umožňuje využití vzorových čestných prohlášení, které jsou přílohami této </w:t>
      </w:r>
      <w:r w:rsidR="009C1EB0">
        <w:rPr>
          <w:lang w:eastAsia="cs-CZ"/>
        </w:rPr>
        <w:t>z</w:t>
      </w:r>
      <w:r w:rsidRPr="008315F8">
        <w:rPr>
          <w:lang w:eastAsia="cs-CZ"/>
        </w:rPr>
        <w:t>adávací dokumentace</w:t>
      </w:r>
      <w:r w:rsidR="0042502B">
        <w:rPr>
          <w:lang w:eastAsia="cs-CZ"/>
        </w:rPr>
        <w:t xml:space="preserve"> (tímto má dojít ke snížení </w:t>
      </w:r>
      <w:r w:rsidR="0042502B" w:rsidRPr="0042502B">
        <w:rPr>
          <w:lang w:eastAsia="cs-CZ"/>
        </w:rPr>
        <w:t>administrativní náročnosti</w:t>
      </w:r>
      <w:r w:rsidR="0042502B">
        <w:rPr>
          <w:lang w:eastAsia="cs-CZ"/>
        </w:rPr>
        <w:t xml:space="preserve"> pro malé a střední pod</w:t>
      </w:r>
      <w:r w:rsidR="00FD2EFF">
        <w:rPr>
          <w:lang w:eastAsia="cs-CZ"/>
        </w:rPr>
        <w:t>n</w:t>
      </w:r>
      <w:r w:rsidR="0042502B">
        <w:rPr>
          <w:lang w:eastAsia="cs-CZ"/>
        </w:rPr>
        <w:t>iky).</w:t>
      </w:r>
    </w:p>
    <w:p w14:paraId="24234C32" w14:textId="5E452836" w:rsidR="00F33EBD" w:rsidRPr="00787C7A" w:rsidRDefault="00E83566" w:rsidP="00F33EBD">
      <w:pPr>
        <w:pStyle w:val="podlnek"/>
        <w:ind w:left="567"/>
        <w:rPr>
          <w:b w:val="0"/>
          <w:bCs/>
          <w:lang w:eastAsia="cs-CZ"/>
        </w:rPr>
      </w:pPr>
      <w:r w:rsidRPr="00787C7A">
        <w:rPr>
          <w:b w:val="0"/>
          <w:bCs/>
          <w:lang w:eastAsia="cs-CZ"/>
        </w:rPr>
        <w:t>Dodavatel je povinen zajistit, aby po celou dobu plnění veřejné zakázky byly naplněny požadavky zadavatele na odpovědné veřejné zadávání, zejména pak:</w:t>
      </w:r>
    </w:p>
    <w:p w14:paraId="35AECF49" w14:textId="231967D1" w:rsidR="00F33EBD" w:rsidRDefault="00F33EBD" w:rsidP="00F33EBD">
      <w:pPr>
        <w:pStyle w:val="Nadpis2"/>
        <w:rPr>
          <w:lang w:eastAsia="cs-CZ"/>
        </w:rPr>
      </w:pPr>
      <w:r>
        <w:rPr>
          <w:lang w:eastAsia="cs-CZ"/>
        </w:rPr>
        <w:t>Dodavatel je povinen zajistit plnění veškerých povinností vyplývajících z právních předpisů České republiky, zejména pak z předpisů pracovněprávních</w:t>
      </w:r>
      <w:r w:rsidR="00F25080">
        <w:rPr>
          <w:lang w:eastAsia="cs-CZ"/>
        </w:rPr>
        <w:t xml:space="preserve"> a </w:t>
      </w:r>
      <w:r>
        <w:rPr>
          <w:lang w:eastAsia="cs-CZ"/>
        </w:rPr>
        <w:t>předpisů z oblasti zaměstnanosti a bezpečnosti a ochrany zdraví při práci, a to vůči všem osobám, které se na plnění veřejné zakázky podílejí; plnění těchto povinností zajistí dodavatel i u svých poddodavatelů.</w:t>
      </w:r>
    </w:p>
    <w:p w14:paraId="47910850" w14:textId="22900A1B" w:rsidR="00D3068F" w:rsidRDefault="00F33EBD" w:rsidP="00D3068F">
      <w:pPr>
        <w:pStyle w:val="Nadpis2"/>
        <w:rPr>
          <w:lang w:eastAsia="cs-CZ"/>
        </w:rPr>
      </w:pPr>
      <w:r w:rsidRPr="00F33EBD">
        <w:rPr>
          <w:lang w:eastAsia="cs-CZ"/>
        </w:rPr>
        <w:t xml:space="preserve">Dodavatel je povinen zajistit </w:t>
      </w:r>
      <w:r>
        <w:rPr>
          <w:lang w:eastAsia="cs-CZ"/>
        </w:rPr>
        <w:t xml:space="preserve">řádné a včasné plnění finančních závazků svým poddodavatelům, kdy za řádné a včasné plnění se považuje plné uhrazení poddodavatelem vystavených faktur za plnění poskytnutá k plnění veřejné zakázky, a to do 30 kalendářních dnů; </w:t>
      </w:r>
    </w:p>
    <w:p w14:paraId="5ED3D6FC" w14:textId="0D2195E8" w:rsidR="00D3068F" w:rsidRDefault="003E2810" w:rsidP="009C7BE4">
      <w:pPr>
        <w:pStyle w:val="Nadpis2"/>
        <w:rPr>
          <w:lang w:eastAsia="cs-CZ"/>
        </w:rPr>
      </w:pPr>
      <w:r w:rsidRPr="003E2810">
        <w:rPr>
          <w:lang w:eastAsia="cs-CZ"/>
        </w:rPr>
        <w:t xml:space="preserve">Dodavatel je povinen </w:t>
      </w:r>
      <w:r>
        <w:rPr>
          <w:lang w:eastAsia="cs-CZ"/>
        </w:rPr>
        <w:t>zasadit se o</w:t>
      </w:r>
      <w:r w:rsidRPr="003E2810">
        <w:rPr>
          <w:lang w:eastAsia="cs-CZ"/>
        </w:rPr>
        <w:t xml:space="preserve"> </w:t>
      </w:r>
      <w:r w:rsidR="00D3068F">
        <w:rPr>
          <w:lang w:eastAsia="cs-CZ"/>
        </w:rPr>
        <w:t xml:space="preserve">snížení negativního dopadu jeho činnosti při plnění </w:t>
      </w:r>
      <w:r>
        <w:rPr>
          <w:lang w:eastAsia="cs-CZ"/>
        </w:rPr>
        <w:t>v</w:t>
      </w:r>
      <w:r w:rsidR="00D3068F">
        <w:rPr>
          <w:lang w:eastAsia="cs-CZ"/>
        </w:rPr>
        <w:t>eřejné zakázky na životní prostředí, zejména pak</w:t>
      </w:r>
    </w:p>
    <w:p w14:paraId="21F8B769" w14:textId="107E450C" w:rsidR="00D3068F" w:rsidRDefault="00D3068F" w:rsidP="00D3068F">
      <w:pPr>
        <w:pStyle w:val="Nadpis3"/>
        <w:rPr>
          <w:lang w:eastAsia="cs-CZ"/>
        </w:rPr>
      </w:pPr>
      <w:r>
        <w:rPr>
          <w:lang w:eastAsia="cs-CZ"/>
        </w:rPr>
        <w:t xml:space="preserve">maximálním omezením tisku veškerých listinných výstupů, resp. odevzdáváním </w:t>
      </w:r>
      <w:r w:rsidR="004F2591">
        <w:rPr>
          <w:lang w:eastAsia="cs-CZ"/>
        </w:rPr>
        <w:t xml:space="preserve">plnění </w:t>
      </w:r>
      <w:r w:rsidR="003E2810">
        <w:rPr>
          <w:lang w:eastAsia="cs-CZ"/>
        </w:rPr>
        <w:t>z</w:t>
      </w:r>
      <w:r>
        <w:rPr>
          <w:lang w:eastAsia="cs-CZ"/>
        </w:rPr>
        <w:t xml:space="preserve">adavateli při realizaci veřejné zakázky na papír, který je šetrný k životnímu prostředí, pokud zvláštní použití pro specifické účely </w:t>
      </w:r>
      <w:r>
        <w:rPr>
          <w:lang w:eastAsia="cs-CZ"/>
        </w:rPr>
        <w:lastRenderedPageBreak/>
        <w:t>nevyžaduje jiný druh papíru; motivováním pracovníků dodavatele k efektivnímu/úspornému tisku;</w:t>
      </w:r>
    </w:p>
    <w:p w14:paraId="5DA10285" w14:textId="56AB3321" w:rsidR="00D3068F" w:rsidRDefault="00D3068F" w:rsidP="00D3068F">
      <w:pPr>
        <w:pStyle w:val="Nadpis3"/>
        <w:rPr>
          <w:lang w:eastAsia="cs-CZ"/>
        </w:rPr>
      </w:pPr>
      <w:r>
        <w:rPr>
          <w:lang w:eastAsia="cs-CZ"/>
        </w:rPr>
        <w:t>předcházením znečišťování ovzduší a snižováním úrovně znečišťování, může-li je během plnění veřejné zakázky dodavatel způsobit;</w:t>
      </w:r>
    </w:p>
    <w:p w14:paraId="2D30428D" w14:textId="108365DE" w:rsidR="009C7BE4" w:rsidRDefault="00D3068F" w:rsidP="009C7BE4">
      <w:pPr>
        <w:pStyle w:val="Nadpis3"/>
        <w:rPr>
          <w:lang w:eastAsia="cs-CZ"/>
        </w:rPr>
      </w:pPr>
      <w:r>
        <w:rPr>
          <w:lang w:eastAsia="cs-CZ"/>
        </w:rPr>
        <w:t>předcházením vzniku odpadů, stanovením hierarchie nakládání s nimi a prosazováním základních principů ochrany životního prostředí a zdraví lidí při nakládání s odpady;</w:t>
      </w:r>
    </w:p>
    <w:p w14:paraId="5FF41AEC" w14:textId="1B3C2174" w:rsidR="009C7BE4" w:rsidRPr="009C7BE4" w:rsidRDefault="009C7BE4" w:rsidP="00E47773">
      <w:pPr>
        <w:pStyle w:val="Nadpis2"/>
        <w:rPr>
          <w:lang w:eastAsia="cs-CZ"/>
        </w:rPr>
      </w:pPr>
      <w:r w:rsidRPr="009C7BE4">
        <w:rPr>
          <w:lang w:eastAsia="cs-CZ"/>
        </w:rPr>
        <w:t xml:space="preserve">Dodavatel je povinen zasadit se </w:t>
      </w:r>
      <w:r>
        <w:rPr>
          <w:lang w:eastAsia="cs-CZ"/>
        </w:rPr>
        <w:t xml:space="preserve">o implementaci nového nebo značně zlepšeného produktu, služby nebo postupu souvisejícího s předmětem veřejné zakázky, bude-li to vzhledem k plnění a pro účely </w:t>
      </w:r>
      <w:r w:rsidR="00CA491F">
        <w:rPr>
          <w:lang w:eastAsia="cs-CZ"/>
        </w:rPr>
        <w:t>v</w:t>
      </w:r>
      <w:r>
        <w:rPr>
          <w:lang w:eastAsia="cs-CZ"/>
        </w:rPr>
        <w:t xml:space="preserve">eřejné zakázky možné a vhodné. </w:t>
      </w:r>
    </w:p>
    <w:p w14:paraId="105B1BDE" w14:textId="0EF08242" w:rsidR="005D636E" w:rsidRDefault="009E13F1" w:rsidP="00725912">
      <w:pPr>
        <w:pStyle w:val="Nadpis1"/>
        <w:keepNext w:val="0"/>
        <w:keepLines w:val="0"/>
      </w:pPr>
      <w:r w:rsidRPr="009E13F1">
        <w:t xml:space="preserve">Požadavky na </w:t>
      </w:r>
      <w:r w:rsidR="003628E7">
        <w:t>kvalifikaci</w:t>
      </w:r>
      <w:r w:rsidRPr="009E13F1">
        <w:t xml:space="preserve"> dodavatele</w:t>
      </w:r>
    </w:p>
    <w:p w14:paraId="00BBE1A2" w14:textId="4B17F885" w:rsidR="00426431" w:rsidRDefault="00426431" w:rsidP="00426431">
      <w:pPr>
        <w:jc w:val="both"/>
      </w:pPr>
      <w:r>
        <w:t xml:space="preserve">Dodavatelé jsou povinni </w:t>
      </w:r>
      <w:r w:rsidR="00194342">
        <w:t xml:space="preserve">v rámci nabídky </w:t>
      </w:r>
      <w:r>
        <w:t>prokázat splnění kvalifikace podle ust. § 73 až §</w:t>
      </w:r>
      <w:r w:rsidR="00194342">
        <w:t> </w:t>
      </w:r>
      <w:r>
        <w:t xml:space="preserve">79 ZZVZ předložením dokladů uvedených v čl. </w:t>
      </w:r>
      <w:r w:rsidR="00E332B4" w:rsidRPr="003A640C">
        <w:t>8</w:t>
      </w:r>
      <w:r w:rsidRPr="003A640C">
        <w:t>.1</w:t>
      </w:r>
      <w:r w:rsidR="00B74A99" w:rsidRPr="003A640C">
        <w:t>.</w:t>
      </w:r>
      <w:r w:rsidRPr="003A640C">
        <w:t xml:space="preserve"> až </w:t>
      </w:r>
      <w:r w:rsidR="00E332B4" w:rsidRPr="003A640C">
        <w:t>8</w:t>
      </w:r>
      <w:r w:rsidRPr="003A640C">
        <w:t>.</w:t>
      </w:r>
      <w:r w:rsidR="00B74A99" w:rsidRPr="003A640C">
        <w:t>4.</w:t>
      </w:r>
      <w:r w:rsidRPr="003A640C">
        <w:t xml:space="preserve"> zadávací dokumentace.</w:t>
      </w:r>
    </w:p>
    <w:p w14:paraId="42CBC424" w14:textId="53278A93" w:rsidR="00426431" w:rsidRDefault="00426431" w:rsidP="00426431">
      <w:pPr>
        <w:jc w:val="both"/>
      </w:pPr>
      <w:r>
        <w:t xml:space="preserve">Zadavatel neumožňuje ve smyslu § 86 odst. 2 ZZVZ nahrazení požadovaných dokladů jiným než v zadávací dokumentaci výslovně připuštěným čestným prohlášením dodavatele (tím není dotčeno právo dodavatele nahradit požadované doklady výpisem ze seznamu kvalifikovaných dodavatelů dle ust. § 228 ZZVZ, certifikátem dle ust. § 234 ZZVZ nebo jednotným evropským osvědčením pro veřejné zakázky dle ust. § 87 ZZVZ). </w:t>
      </w:r>
    </w:p>
    <w:p w14:paraId="1E306D14" w14:textId="38F1E6BF" w:rsidR="00426431" w:rsidRDefault="00426431" w:rsidP="00426431">
      <w:pPr>
        <w:jc w:val="both"/>
      </w:pPr>
      <w:r>
        <w:t xml:space="preserve">Vybraný dodavatel je povinen </w:t>
      </w:r>
      <w:r w:rsidR="00141520">
        <w:t>z</w:t>
      </w:r>
      <w:r>
        <w:t xml:space="preserve">adavateli dle ust. § 122 odst. 3 ZZVZ na písemnou výzvu předložit: doklady o kvalifikaci dodavatele, pokud je </w:t>
      </w:r>
      <w:r w:rsidR="00141520">
        <w:t>z</w:t>
      </w:r>
      <w:r>
        <w:t xml:space="preserve">adavatel již nemá k dispozici, či údaj o tom, zda je dodavatel malým nebo středním podnikem ve smyslu doporučení Komise 2003/361/ES. Zadavatel je dle ust. § 122 odst. 4 ZZVZ oprávněn požadovat předložení originálů nebo úředně ověřených kopií dokladů dle ust. § 122 odst. 3 ZZVZ. </w:t>
      </w:r>
    </w:p>
    <w:p w14:paraId="42D54898" w14:textId="77777777" w:rsidR="00426431" w:rsidRDefault="00426431" w:rsidP="00426431">
      <w:pPr>
        <w:jc w:val="both"/>
      </w:pPr>
      <w:r>
        <w:t>Kvalifikovaným pro plnění veřejné zakázky je v souladu s ust. § 73 ZZVZ dodavatel, který:</w:t>
      </w:r>
    </w:p>
    <w:p w14:paraId="59FCB94C" w14:textId="77777777" w:rsidR="00141520" w:rsidRDefault="00426431" w:rsidP="00C93D25">
      <w:pPr>
        <w:widowControl w:val="0"/>
        <w:numPr>
          <w:ilvl w:val="0"/>
          <w:numId w:val="17"/>
        </w:numPr>
        <w:autoSpaceDE w:val="0"/>
        <w:autoSpaceDN w:val="0"/>
        <w:adjustRightInd w:val="0"/>
        <w:spacing w:before="0" w:after="104" w:line="288" w:lineRule="auto"/>
        <w:ind w:left="993" w:hanging="426"/>
        <w:jc w:val="both"/>
      </w:pPr>
      <w:r>
        <w:t>splní základní způsobilost podle ust. § 74 ZZVZ,</w:t>
      </w:r>
    </w:p>
    <w:p w14:paraId="5B386D3B" w14:textId="77777777" w:rsidR="00141520" w:rsidRDefault="00426431" w:rsidP="00C93D25">
      <w:pPr>
        <w:widowControl w:val="0"/>
        <w:numPr>
          <w:ilvl w:val="0"/>
          <w:numId w:val="17"/>
        </w:numPr>
        <w:autoSpaceDE w:val="0"/>
        <w:autoSpaceDN w:val="0"/>
        <w:adjustRightInd w:val="0"/>
        <w:spacing w:before="0" w:after="104" w:line="288" w:lineRule="auto"/>
        <w:ind w:left="993" w:hanging="426"/>
        <w:jc w:val="both"/>
      </w:pPr>
      <w:r>
        <w:t>splní profesní způsobilost podle ust. § 77 ZZVZ,</w:t>
      </w:r>
    </w:p>
    <w:p w14:paraId="185134C4" w14:textId="291ED20D" w:rsidR="00782A4E" w:rsidRPr="001549EC" w:rsidRDefault="00426431" w:rsidP="00C93D25">
      <w:pPr>
        <w:widowControl w:val="0"/>
        <w:numPr>
          <w:ilvl w:val="0"/>
          <w:numId w:val="17"/>
        </w:numPr>
        <w:autoSpaceDE w:val="0"/>
        <w:autoSpaceDN w:val="0"/>
        <w:adjustRightInd w:val="0"/>
        <w:spacing w:before="0" w:after="104" w:line="288" w:lineRule="auto"/>
        <w:ind w:left="993" w:hanging="426"/>
        <w:jc w:val="both"/>
      </w:pPr>
      <w:r>
        <w:t>splní technickou kvalifikaci podle ust. § 79 ZZVZ.</w:t>
      </w:r>
    </w:p>
    <w:p w14:paraId="0DD23F60" w14:textId="1280B10B" w:rsidR="005D636E" w:rsidRPr="00BE4D95" w:rsidRDefault="00734C14" w:rsidP="00646BC3">
      <w:pPr>
        <w:pStyle w:val="Nadpis2"/>
        <w:rPr>
          <w:u w:val="single"/>
        </w:rPr>
      </w:pPr>
      <w:r w:rsidRPr="00BE4D95">
        <w:rPr>
          <w:u w:val="single"/>
        </w:rPr>
        <w:t>Základní způsobilost podle ust. § 74 ZZVZ</w:t>
      </w: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4817"/>
        <w:gridCol w:w="2994"/>
      </w:tblGrid>
      <w:tr w:rsidR="00A76532" w:rsidRPr="00A76532" w14:paraId="56D6670B" w14:textId="77777777" w:rsidTr="00B9462A">
        <w:trPr>
          <w:trHeight w:val="340"/>
        </w:trPr>
        <w:tc>
          <w:tcPr>
            <w:tcW w:w="5228" w:type="dxa"/>
            <w:gridSpan w:val="2"/>
            <w:shd w:val="clear" w:color="auto" w:fill="BFBFBF" w:themeFill="background1" w:themeFillShade="BF"/>
            <w:vAlign w:val="center"/>
          </w:tcPr>
          <w:p w14:paraId="02962C3A" w14:textId="77777777" w:rsidR="00A76532" w:rsidRPr="00A76532" w:rsidRDefault="00A76532" w:rsidP="00A76532">
            <w:pPr>
              <w:keepNext/>
              <w:spacing w:before="60" w:after="60"/>
              <w:ind w:left="0"/>
              <w:jc w:val="center"/>
              <w:rPr>
                <w:rFonts w:eastAsia="Calibri" w:cs="Times New Roman"/>
                <w:b/>
                <w:bCs/>
                <w:szCs w:val="18"/>
              </w:rPr>
            </w:pPr>
            <w:r w:rsidRPr="00A76532">
              <w:rPr>
                <w:rFonts w:eastAsia="Calibri" w:cs="Times New Roman"/>
                <w:b/>
                <w:bCs/>
                <w:szCs w:val="18"/>
              </w:rPr>
              <w:t>Způsobilým je dodavatel, který:</w:t>
            </w:r>
          </w:p>
        </w:tc>
        <w:tc>
          <w:tcPr>
            <w:tcW w:w="2994" w:type="dxa"/>
            <w:shd w:val="clear" w:color="auto" w:fill="BFBFBF" w:themeFill="background1" w:themeFillShade="BF"/>
            <w:vAlign w:val="center"/>
          </w:tcPr>
          <w:p w14:paraId="562B512F" w14:textId="77777777" w:rsidR="00A76532" w:rsidRPr="00A76532" w:rsidRDefault="00A76532" w:rsidP="00A76532">
            <w:pPr>
              <w:keepNext/>
              <w:spacing w:before="60" w:after="60"/>
              <w:ind w:left="0"/>
              <w:jc w:val="center"/>
              <w:rPr>
                <w:rFonts w:eastAsia="Calibri" w:cs="Times New Roman"/>
                <w:b/>
                <w:bCs/>
                <w:szCs w:val="18"/>
              </w:rPr>
            </w:pPr>
            <w:r w:rsidRPr="00A76532">
              <w:rPr>
                <w:rFonts w:eastAsia="Calibri" w:cs="Times New Roman"/>
                <w:b/>
                <w:bCs/>
                <w:szCs w:val="18"/>
              </w:rPr>
              <w:t>Způsob prokázání:</w:t>
            </w:r>
          </w:p>
        </w:tc>
      </w:tr>
      <w:tr w:rsidR="00A76532" w:rsidRPr="00A76532" w14:paraId="4D115030" w14:textId="77777777" w:rsidTr="00A76532">
        <w:trPr>
          <w:trHeight w:val="340"/>
        </w:trPr>
        <w:tc>
          <w:tcPr>
            <w:tcW w:w="411" w:type="dxa"/>
            <w:vAlign w:val="center"/>
          </w:tcPr>
          <w:p w14:paraId="7A3C0236" w14:textId="77777777" w:rsidR="00A76532" w:rsidRPr="00A76532" w:rsidRDefault="00A76532" w:rsidP="00A76532">
            <w:pPr>
              <w:spacing w:before="60" w:after="60"/>
              <w:ind w:left="0"/>
              <w:rPr>
                <w:rFonts w:eastAsia="Calibri" w:cs="Times New Roman"/>
                <w:szCs w:val="18"/>
              </w:rPr>
            </w:pPr>
            <w:r w:rsidRPr="00A76532">
              <w:rPr>
                <w:rFonts w:eastAsia="Calibri" w:cs="Times New Roman"/>
                <w:szCs w:val="18"/>
              </w:rPr>
              <w:t>a)</w:t>
            </w:r>
          </w:p>
        </w:tc>
        <w:tc>
          <w:tcPr>
            <w:tcW w:w="4817" w:type="dxa"/>
          </w:tcPr>
          <w:p w14:paraId="6B2DBD10"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szCs w:val="18"/>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tc>
        <w:tc>
          <w:tcPr>
            <w:tcW w:w="2994" w:type="dxa"/>
          </w:tcPr>
          <w:p w14:paraId="54BAFAEF" w14:textId="77777777" w:rsidR="00A76532" w:rsidRPr="00A76532" w:rsidRDefault="00A76532" w:rsidP="00A76532">
            <w:pPr>
              <w:ind w:left="0"/>
              <w:jc w:val="both"/>
              <w:rPr>
                <w:rFonts w:eastAsia="Calibri" w:cs="Times New Roman"/>
                <w:szCs w:val="18"/>
              </w:rPr>
            </w:pPr>
            <w:r w:rsidRPr="00A76532">
              <w:rPr>
                <w:rFonts w:eastAsia="Calibri" w:cs="Times New Roman"/>
                <w:b/>
                <w:bCs/>
                <w:szCs w:val="18"/>
              </w:rPr>
              <w:t xml:space="preserve">Výpis z evidence Rejstříku trestů </w:t>
            </w:r>
            <w:r w:rsidRPr="00A76532">
              <w:rPr>
                <w:rFonts w:eastAsia="Calibri" w:cs="Times New Roman"/>
                <w:szCs w:val="18"/>
              </w:rPr>
              <w:t>dle § 75 odst. 1 písm. a) ZZVZ</w:t>
            </w:r>
            <w:r w:rsidRPr="00A76532">
              <w:rPr>
                <w:rFonts w:eastAsia="Calibri" w:cs="Times New Roman"/>
                <w:b/>
                <w:bCs/>
                <w:szCs w:val="18"/>
              </w:rPr>
              <w:t xml:space="preserve"> </w:t>
            </w:r>
            <w:r w:rsidRPr="00A76532">
              <w:rPr>
                <w:rFonts w:eastAsia="Calibri" w:cs="Times New Roman"/>
                <w:szCs w:val="18"/>
              </w:rPr>
              <w:t>pro každou fyzickou a právnickou osobu, pro niž je dle ZZVZ a zadávacích podmínek vyžadován.</w:t>
            </w:r>
          </w:p>
          <w:p w14:paraId="243980DC"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szCs w:val="18"/>
              </w:rPr>
              <w:t>K zahraničním osobám viz § 81 ZZVZ.</w:t>
            </w:r>
          </w:p>
        </w:tc>
      </w:tr>
      <w:tr w:rsidR="00A76532" w:rsidRPr="00A76532" w14:paraId="5A0BD926" w14:textId="77777777" w:rsidTr="00A76532">
        <w:trPr>
          <w:trHeight w:val="340"/>
        </w:trPr>
        <w:tc>
          <w:tcPr>
            <w:tcW w:w="411" w:type="dxa"/>
            <w:vAlign w:val="center"/>
          </w:tcPr>
          <w:p w14:paraId="2C3E1A3B" w14:textId="77777777" w:rsidR="00A76532" w:rsidRPr="00A76532" w:rsidRDefault="00A76532" w:rsidP="00A76532">
            <w:pPr>
              <w:spacing w:before="60" w:after="60"/>
              <w:ind w:left="0"/>
              <w:rPr>
                <w:rFonts w:eastAsia="Calibri" w:cs="Times New Roman"/>
                <w:szCs w:val="18"/>
              </w:rPr>
            </w:pPr>
            <w:r w:rsidRPr="00A76532">
              <w:rPr>
                <w:rFonts w:eastAsia="Calibri" w:cs="Times New Roman"/>
                <w:szCs w:val="18"/>
              </w:rPr>
              <w:lastRenderedPageBreak/>
              <w:t>b)</w:t>
            </w:r>
          </w:p>
        </w:tc>
        <w:tc>
          <w:tcPr>
            <w:tcW w:w="4817" w:type="dxa"/>
          </w:tcPr>
          <w:p w14:paraId="65810646"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szCs w:val="18"/>
              </w:rPr>
              <w:t>nemá v České republice nebo v zemi svého sídla v evidenci daní zachycen splatný daňový nedoplatek;</w:t>
            </w:r>
          </w:p>
        </w:tc>
        <w:tc>
          <w:tcPr>
            <w:tcW w:w="2994" w:type="dxa"/>
          </w:tcPr>
          <w:p w14:paraId="21DA9827"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b/>
                <w:bCs/>
                <w:szCs w:val="18"/>
              </w:rPr>
              <w:t xml:space="preserve">Potvrzení příslušného finančního úřadu </w:t>
            </w:r>
            <w:r w:rsidRPr="00A76532">
              <w:rPr>
                <w:rFonts w:eastAsia="Calibri" w:cs="Times New Roman"/>
                <w:szCs w:val="18"/>
              </w:rPr>
              <w:t>dle § 75 odst. 1 písm. b) ZZVZ,</w:t>
            </w:r>
            <w:r w:rsidRPr="00A76532">
              <w:rPr>
                <w:rFonts w:eastAsia="Calibri" w:cs="Times New Roman"/>
                <w:b/>
                <w:bCs/>
                <w:szCs w:val="18"/>
              </w:rPr>
              <w:t xml:space="preserve"> </w:t>
            </w:r>
            <w:r w:rsidRPr="00A76532">
              <w:rPr>
                <w:rFonts w:eastAsia="Calibri" w:cs="Times New Roman"/>
                <w:szCs w:val="18"/>
              </w:rPr>
              <w:t xml:space="preserve">ve vztahu ke spotřební dani </w:t>
            </w:r>
            <w:r w:rsidRPr="00A76532">
              <w:rPr>
                <w:rFonts w:eastAsia="Calibri" w:cs="Times New Roman"/>
                <w:b/>
                <w:bCs/>
                <w:szCs w:val="18"/>
              </w:rPr>
              <w:t xml:space="preserve">písemné čestné prohlášení </w:t>
            </w:r>
            <w:r w:rsidRPr="00A76532">
              <w:rPr>
                <w:rFonts w:eastAsia="Calibri" w:cs="Times New Roman"/>
                <w:szCs w:val="18"/>
              </w:rPr>
              <w:t xml:space="preserve">dle § 75 odst. 1 písm. c) ZZVZ, z něhož jednoznačně vyplývá splnění této způsobilosti. </w:t>
            </w:r>
          </w:p>
        </w:tc>
      </w:tr>
      <w:tr w:rsidR="00A76532" w:rsidRPr="00A76532" w14:paraId="0D17DE4F" w14:textId="77777777" w:rsidTr="00A76532">
        <w:trPr>
          <w:trHeight w:val="340"/>
        </w:trPr>
        <w:tc>
          <w:tcPr>
            <w:tcW w:w="411" w:type="dxa"/>
            <w:vAlign w:val="center"/>
          </w:tcPr>
          <w:p w14:paraId="13965D80" w14:textId="77777777" w:rsidR="00A76532" w:rsidRPr="00A76532" w:rsidRDefault="00A76532" w:rsidP="00A76532">
            <w:pPr>
              <w:spacing w:before="60" w:after="60"/>
              <w:ind w:left="0"/>
              <w:rPr>
                <w:rFonts w:eastAsia="Calibri" w:cs="Times New Roman"/>
                <w:szCs w:val="18"/>
              </w:rPr>
            </w:pPr>
            <w:r w:rsidRPr="00A76532">
              <w:rPr>
                <w:rFonts w:eastAsia="Calibri" w:cs="Times New Roman"/>
                <w:szCs w:val="18"/>
              </w:rPr>
              <w:t>c)</w:t>
            </w:r>
          </w:p>
        </w:tc>
        <w:tc>
          <w:tcPr>
            <w:tcW w:w="4817" w:type="dxa"/>
          </w:tcPr>
          <w:p w14:paraId="0A8DB10C"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szCs w:val="18"/>
              </w:rPr>
              <w:t>nemá v České republice nebo v zemi svého sídla splatný nedoplatek na pojistném nebo na penále na veřejné zdravotní pojištění;</w:t>
            </w:r>
          </w:p>
        </w:tc>
        <w:tc>
          <w:tcPr>
            <w:tcW w:w="2994" w:type="dxa"/>
          </w:tcPr>
          <w:p w14:paraId="78CDE003"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b/>
                <w:bCs/>
                <w:szCs w:val="18"/>
              </w:rPr>
              <w:t xml:space="preserve">Čestné prohlášení dodavatele </w:t>
            </w:r>
            <w:r w:rsidRPr="00A76532">
              <w:rPr>
                <w:rFonts w:eastAsia="Calibri" w:cs="Times New Roman"/>
                <w:szCs w:val="18"/>
              </w:rPr>
              <w:t>dle § 75 odst. 1 písm. d) ZZVZ, z něhož jednoznačně vyplývá splnění této způsobilosti.</w:t>
            </w:r>
          </w:p>
        </w:tc>
      </w:tr>
      <w:tr w:rsidR="00A76532" w:rsidRPr="00A76532" w14:paraId="529F4793" w14:textId="77777777" w:rsidTr="00A76532">
        <w:trPr>
          <w:trHeight w:val="340"/>
        </w:trPr>
        <w:tc>
          <w:tcPr>
            <w:tcW w:w="411" w:type="dxa"/>
            <w:vAlign w:val="center"/>
          </w:tcPr>
          <w:p w14:paraId="67B8430E" w14:textId="77777777" w:rsidR="00A76532" w:rsidRPr="00A76532" w:rsidRDefault="00A76532" w:rsidP="00A76532">
            <w:pPr>
              <w:spacing w:before="60" w:after="60"/>
              <w:ind w:left="0"/>
              <w:rPr>
                <w:rFonts w:eastAsia="Calibri" w:cs="Times New Roman"/>
                <w:szCs w:val="18"/>
              </w:rPr>
            </w:pPr>
            <w:r w:rsidRPr="00A76532">
              <w:rPr>
                <w:rFonts w:eastAsia="Calibri" w:cs="Times New Roman"/>
                <w:szCs w:val="18"/>
              </w:rPr>
              <w:t>d)</w:t>
            </w:r>
          </w:p>
        </w:tc>
        <w:tc>
          <w:tcPr>
            <w:tcW w:w="4817" w:type="dxa"/>
          </w:tcPr>
          <w:p w14:paraId="22F15F6E"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szCs w:val="18"/>
              </w:rPr>
              <w:t>nemá v České republice nebo v zemi svého sídla splatný nedoplatek na pojistném nebo na penále na sociální zabezpečení a příspěvku na státní politiku zaměstnanosti;</w:t>
            </w:r>
          </w:p>
        </w:tc>
        <w:tc>
          <w:tcPr>
            <w:tcW w:w="2994" w:type="dxa"/>
          </w:tcPr>
          <w:p w14:paraId="20E6D5A8"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b/>
                <w:bCs/>
                <w:szCs w:val="18"/>
              </w:rPr>
              <w:t xml:space="preserve">Potvrzení příslušné okresní správy sociálního zabezpečení </w:t>
            </w:r>
            <w:r w:rsidRPr="00A76532">
              <w:rPr>
                <w:rFonts w:eastAsia="Calibri" w:cs="Times New Roman"/>
                <w:szCs w:val="18"/>
              </w:rPr>
              <w:t>dle § 75 odst. 1 písm. e) ZZVZ.</w:t>
            </w:r>
          </w:p>
        </w:tc>
      </w:tr>
      <w:tr w:rsidR="00A76532" w:rsidRPr="00A76532" w14:paraId="61D83CB8" w14:textId="77777777" w:rsidTr="00A76532">
        <w:trPr>
          <w:trHeight w:val="340"/>
        </w:trPr>
        <w:tc>
          <w:tcPr>
            <w:tcW w:w="411" w:type="dxa"/>
            <w:vAlign w:val="center"/>
          </w:tcPr>
          <w:p w14:paraId="4389BF6C" w14:textId="77777777" w:rsidR="00A76532" w:rsidRPr="00A76532" w:rsidRDefault="00A76532" w:rsidP="00A76532">
            <w:pPr>
              <w:spacing w:before="60" w:after="60"/>
              <w:ind w:left="0"/>
              <w:rPr>
                <w:rFonts w:eastAsia="Calibri" w:cs="Times New Roman"/>
                <w:szCs w:val="18"/>
              </w:rPr>
            </w:pPr>
            <w:r w:rsidRPr="00A76532">
              <w:rPr>
                <w:rFonts w:eastAsia="Calibri" w:cs="Times New Roman"/>
                <w:szCs w:val="18"/>
              </w:rPr>
              <w:t>e)</w:t>
            </w:r>
          </w:p>
        </w:tc>
        <w:tc>
          <w:tcPr>
            <w:tcW w:w="4817" w:type="dxa"/>
          </w:tcPr>
          <w:p w14:paraId="16817717"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szCs w:val="18"/>
              </w:rPr>
              <w:t>není v likvidaci, nebylo proti němu vydáno rozhodnutí o úpadku, nebyla vůči němu nařízena nucená správa podle jiného právního předpisu nebo v obdobné situaci podle právního řádu země sídla dodavatele.</w:t>
            </w:r>
          </w:p>
        </w:tc>
        <w:tc>
          <w:tcPr>
            <w:tcW w:w="2994" w:type="dxa"/>
          </w:tcPr>
          <w:p w14:paraId="7FC2738F" w14:textId="77777777" w:rsidR="00A76532" w:rsidRPr="00A76532" w:rsidRDefault="00A76532" w:rsidP="00A76532">
            <w:pPr>
              <w:ind w:left="0"/>
              <w:jc w:val="both"/>
              <w:rPr>
                <w:rFonts w:eastAsia="Calibri" w:cs="Times New Roman"/>
                <w:szCs w:val="18"/>
                <w:highlight w:val="magenta"/>
              </w:rPr>
            </w:pPr>
            <w:r w:rsidRPr="00A76532">
              <w:rPr>
                <w:rFonts w:eastAsia="Calibri" w:cs="Times New Roman"/>
                <w:b/>
                <w:bCs/>
                <w:szCs w:val="18"/>
              </w:rPr>
              <w:t xml:space="preserve">Výpis z obchodního rejstříku dle </w:t>
            </w:r>
            <w:r w:rsidRPr="00A76532">
              <w:rPr>
                <w:rFonts w:eastAsia="Calibri" w:cs="Times New Roman"/>
                <w:szCs w:val="18"/>
              </w:rPr>
              <w:t xml:space="preserve">§ 75 odst. 1 písm. f) ZZVZ nebo v případě, že dodavatel není v obchodním rejstříku zapsán, </w:t>
            </w:r>
            <w:r w:rsidRPr="00A76532">
              <w:rPr>
                <w:rFonts w:eastAsia="Calibri" w:cs="Times New Roman"/>
                <w:b/>
                <w:bCs/>
                <w:szCs w:val="18"/>
              </w:rPr>
              <w:t>čestné prohlášení dodavatele</w:t>
            </w:r>
            <w:r w:rsidRPr="00A76532">
              <w:rPr>
                <w:rFonts w:eastAsia="Calibri" w:cs="Times New Roman"/>
                <w:szCs w:val="18"/>
              </w:rPr>
              <w:t>, z něhož jednoznačně vyplývá splnění této způsobilosti.</w:t>
            </w:r>
          </w:p>
        </w:tc>
      </w:tr>
      <w:tr w:rsidR="00A76532" w:rsidRPr="00A76532" w14:paraId="34B4DA74" w14:textId="77777777" w:rsidTr="00B9462A">
        <w:trPr>
          <w:trHeight w:val="340"/>
        </w:trPr>
        <w:tc>
          <w:tcPr>
            <w:tcW w:w="8222" w:type="dxa"/>
            <w:gridSpan w:val="3"/>
            <w:shd w:val="clear" w:color="auto" w:fill="D9D9D9" w:themeFill="background1" w:themeFillShade="D9"/>
            <w:vAlign w:val="center"/>
          </w:tcPr>
          <w:p w14:paraId="3F9E3DC7" w14:textId="77777777" w:rsidR="00A76532" w:rsidRPr="00A76532" w:rsidRDefault="00A76532" w:rsidP="00A76532">
            <w:pPr>
              <w:spacing w:before="60" w:after="60"/>
              <w:ind w:left="0"/>
              <w:rPr>
                <w:rFonts w:eastAsia="Calibri" w:cs="Times New Roman"/>
                <w:szCs w:val="18"/>
              </w:rPr>
            </w:pPr>
            <w:r w:rsidRPr="00A76532">
              <w:rPr>
                <w:rFonts w:eastAsia="Calibri" w:cs="Times New Roman"/>
                <w:szCs w:val="18"/>
              </w:rPr>
              <w:t>Doklady prokazující základní způsobilost musí prokazovat splnění požadovaného kritéria způsobilosti nejpozději v době 3 měsíců přede dnem zahájení zadávacího řízení.</w:t>
            </w:r>
          </w:p>
        </w:tc>
      </w:tr>
    </w:tbl>
    <w:p w14:paraId="07B94461" w14:textId="0F530F0D" w:rsidR="00A76532" w:rsidRDefault="00BB180E" w:rsidP="00BB180E">
      <w:pPr>
        <w:suppressAutoHyphens/>
        <w:spacing w:line="264" w:lineRule="auto"/>
        <w:jc w:val="both"/>
        <w:rPr>
          <w:rFonts w:eastAsia="Calibri"/>
          <w:i/>
          <w:iCs/>
          <w:szCs w:val="18"/>
        </w:rPr>
      </w:pPr>
      <w:r w:rsidRPr="001F4945">
        <w:rPr>
          <w:rFonts w:eastAsia="Calibri"/>
          <w:i/>
          <w:iCs/>
          <w:szCs w:val="18"/>
        </w:rPr>
        <w:t>[POZN. Zadavatele k požadavku pod písm. a) výše: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CB77D47" w14:textId="30169E60" w:rsidR="009775CE" w:rsidRPr="009775CE" w:rsidRDefault="009775CE" w:rsidP="00BB180E">
      <w:pPr>
        <w:suppressAutoHyphens/>
        <w:spacing w:line="264" w:lineRule="auto"/>
        <w:jc w:val="both"/>
        <w:rPr>
          <w:rFonts w:eastAsia="Verdana" w:cs="Times New Roman"/>
          <w:noProof/>
          <w:szCs w:val="18"/>
          <w:u w:val="single"/>
        </w:rPr>
      </w:pPr>
      <w:r w:rsidRPr="009775CE">
        <w:rPr>
          <w:rFonts w:eastAsia="Verdana" w:cs="Times New Roman"/>
          <w:noProof/>
          <w:szCs w:val="18"/>
          <w:u w:val="single"/>
        </w:rPr>
        <w:t xml:space="preserve">Dodavatelé jsou oprávněni v nabídce nahradit předložení dokladů o splnění základní způsobilosti uvedených v tabulce výše čestným prohlášením </w:t>
      </w:r>
      <w:r w:rsidRPr="003A640C">
        <w:rPr>
          <w:rFonts w:eastAsia="Verdana" w:cs="Times New Roman"/>
          <w:noProof/>
          <w:szCs w:val="18"/>
          <w:u w:val="single"/>
        </w:rPr>
        <w:t xml:space="preserve">(formulář </w:t>
      </w:r>
      <w:r w:rsidR="00182A09" w:rsidRPr="003A640C">
        <w:rPr>
          <w:rFonts w:eastAsia="Verdana" w:cs="Times New Roman"/>
          <w:noProof/>
          <w:szCs w:val="18"/>
          <w:u w:val="single"/>
        </w:rPr>
        <w:t>č. 1</w:t>
      </w:r>
      <w:r w:rsidRPr="003A640C">
        <w:rPr>
          <w:rFonts w:eastAsia="Verdana" w:cs="Times New Roman"/>
          <w:noProof/>
          <w:szCs w:val="18"/>
          <w:u w:val="single"/>
        </w:rPr>
        <w:t>.</w:t>
      </w:r>
      <w:r w:rsidR="00FA2024" w:rsidRPr="003A640C">
        <w:rPr>
          <w:rFonts w:eastAsia="Verdana" w:cs="Times New Roman"/>
          <w:noProof/>
          <w:szCs w:val="18"/>
          <w:u w:val="single"/>
        </w:rPr>
        <w:t>1.</w:t>
      </w:r>
      <w:r w:rsidR="00182A09" w:rsidRPr="003A640C">
        <w:rPr>
          <w:rFonts w:eastAsia="Verdana" w:cs="Times New Roman"/>
          <w:noProof/>
          <w:szCs w:val="18"/>
          <w:u w:val="single"/>
        </w:rPr>
        <w:t xml:space="preserve">, který tvoří součást přílohy č. 4 této </w:t>
      </w:r>
      <w:r w:rsidRPr="003A640C">
        <w:rPr>
          <w:rFonts w:eastAsia="Verdana" w:cs="Times New Roman"/>
          <w:noProof/>
          <w:szCs w:val="18"/>
          <w:u w:val="single"/>
        </w:rPr>
        <w:t>zadávací dokumentac</w:t>
      </w:r>
      <w:r w:rsidR="00182A09" w:rsidRPr="003A640C">
        <w:rPr>
          <w:rFonts w:eastAsia="Verdana" w:cs="Times New Roman"/>
          <w:noProof/>
          <w:szCs w:val="18"/>
          <w:u w:val="single"/>
        </w:rPr>
        <w:t>e</w:t>
      </w:r>
      <w:r w:rsidRPr="003A640C">
        <w:rPr>
          <w:rFonts w:eastAsia="Verdana" w:cs="Times New Roman"/>
          <w:noProof/>
          <w:szCs w:val="18"/>
          <w:u w:val="single"/>
        </w:rPr>
        <w:t>).</w:t>
      </w:r>
      <w:r w:rsidRPr="009775CE">
        <w:rPr>
          <w:rFonts w:eastAsia="Verdana" w:cs="Times New Roman"/>
          <w:noProof/>
          <w:szCs w:val="18"/>
          <w:u w:val="single"/>
        </w:rPr>
        <w:t xml:space="preserve"> K</w:t>
      </w:r>
      <w:r w:rsidR="00390A07">
        <w:rPr>
          <w:rFonts w:eastAsia="Verdana" w:cs="Times New Roman"/>
          <w:noProof/>
          <w:szCs w:val="18"/>
          <w:u w:val="single"/>
        </w:rPr>
        <w:t> </w:t>
      </w:r>
      <w:r w:rsidR="003E0B02">
        <w:rPr>
          <w:rFonts w:eastAsia="Verdana" w:cs="Times New Roman"/>
          <w:noProof/>
          <w:szCs w:val="18"/>
          <w:u w:val="single"/>
        </w:rPr>
        <w:t xml:space="preserve">případnému </w:t>
      </w:r>
      <w:r w:rsidRPr="009775CE">
        <w:rPr>
          <w:rFonts w:eastAsia="Verdana" w:cs="Times New Roman"/>
          <w:noProof/>
          <w:szCs w:val="18"/>
          <w:u w:val="single"/>
        </w:rPr>
        <w:t xml:space="preserve">zaslání originálů </w:t>
      </w:r>
      <w:r w:rsidR="00390A07">
        <w:rPr>
          <w:rFonts w:eastAsia="Verdana" w:cs="Times New Roman"/>
          <w:noProof/>
          <w:szCs w:val="18"/>
          <w:u w:val="single"/>
        </w:rPr>
        <w:t xml:space="preserve">nebo úředně ověřených kopií </w:t>
      </w:r>
      <w:r w:rsidRPr="009775CE">
        <w:rPr>
          <w:rFonts w:eastAsia="Verdana" w:cs="Times New Roman"/>
          <w:noProof/>
          <w:szCs w:val="18"/>
          <w:u w:val="single"/>
        </w:rPr>
        <w:t>všech příslušných dokladů bude následně vyzván vybraný dodavatel.</w:t>
      </w:r>
    </w:p>
    <w:p w14:paraId="77315836" w14:textId="4E29DE82" w:rsidR="006C7CDE" w:rsidRPr="00BE4D95" w:rsidRDefault="006C7CDE" w:rsidP="00646BC3">
      <w:pPr>
        <w:pStyle w:val="Nadpis2"/>
        <w:rPr>
          <w:u w:val="single"/>
        </w:rPr>
      </w:pPr>
      <w:r w:rsidRPr="00BE4D95">
        <w:rPr>
          <w:u w:val="single"/>
        </w:rPr>
        <w:lastRenderedPageBreak/>
        <w:t>Profesní způsobilost dle ust. § 77 ZZVZ</w:t>
      </w:r>
    </w:p>
    <w:tbl>
      <w:tblPr>
        <w:tblpPr w:leftFromText="141" w:rightFromText="141" w:vertAnchor="text" w:tblpX="558" w:tblpY="1"/>
        <w:tblOverlap w:val="never"/>
        <w:tblW w:w="8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
        <w:gridCol w:w="3929"/>
        <w:gridCol w:w="3948"/>
      </w:tblGrid>
      <w:tr w:rsidR="006C7CDE" w:rsidRPr="006C7CDE" w14:paraId="5AB08D60" w14:textId="77777777" w:rsidTr="00B9462A">
        <w:trPr>
          <w:trHeight w:val="557"/>
          <w:tblHeader/>
        </w:trPr>
        <w:tc>
          <w:tcPr>
            <w:tcW w:w="4259" w:type="dxa"/>
            <w:gridSpan w:val="2"/>
            <w:shd w:val="clear" w:color="auto" w:fill="BFBFBF" w:themeFill="background1" w:themeFillShade="BF"/>
            <w:vAlign w:val="center"/>
          </w:tcPr>
          <w:p w14:paraId="0C00128B" w14:textId="77777777" w:rsidR="006C7CDE" w:rsidRPr="006C7CDE" w:rsidRDefault="006C7CDE" w:rsidP="006C7CDE">
            <w:pPr>
              <w:spacing w:before="0" w:after="60"/>
              <w:ind w:left="0"/>
              <w:jc w:val="center"/>
              <w:rPr>
                <w:rFonts w:eastAsia="Calibri" w:cs="Times New Roman"/>
                <w:b/>
                <w:szCs w:val="18"/>
              </w:rPr>
            </w:pPr>
            <w:r w:rsidRPr="006C7CDE">
              <w:rPr>
                <w:rFonts w:eastAsia="Calibri" w:cs="Times New Roman"/>
                <w:b/>
                <w:szCs w:val="18"/>
              </w:rPr>
              <w:t>Zadavatel požaduje:</w:t>
            </w:r>
          </w:p>
        </w:tc>
        <w:tc>
          <w:tcPr>
            <w:tcW w:w="3948" w:type="dxa"/>
            <w:shd w:val="clear" w:color="auto" w:fill="BFBFBF" w:themeFill="background1" w:themeFillShade="BF"/>
            <w:vAlign w:val="center"/>
          </w:tcPr>
          <w:p w14:paraId="79D42586" w14:textId="77777777" w:rsidR="006C7CDE" w:rsidRPr="006C7CDE" w:rsidRDefault="006C7CDE" w:rsidP="006C7CDE">
            <w:pPr>
              <w:spacing w:before="0" w:after="60"/>
              <w:ind w:left="0"/>
              <w:jc w:val="center"/>
              <w:rPr>
                <w:rFonts w:eastAsia="Calibri" w:cs="Times New Roman"/>
                <w:b/>
                <w:i/>
                <w:szCs w:val="18"/>
              </w:rPr>
            </w:pPr>
            <w:r w:rsidRPr="006C7CDE">
              <w:rPr>
                <w:rFonts w:eastAsia="Calibri" w:cs="Times New Roman"/>
                <w:b/>
                <w:szCs w:val="18"/>
              </w:rPr>
              <w:t xml:space="preserve">Způsob prokázání </w:t>
            </w:r>
          </w:p>
        </w:tc>
      </w:tr>
      <w:tr w:rsidR="006C7CDE" w:rsidRPr="006C7CDE" w14:paraId="2548D93F" w14:textId="77777777" w:rsidTr="008E6E47">
        <w:tc>
          <w:tcPr>
            <w:tcW w:w="330" w:type="dxa"/>
            <w:vAlign w:val="center"/>
          </w:tcPr>
          <w:p w14:paraId="422C73EA" w14:textId="77777777" w:rsidR="006C7CDE" w:rsidRPr="006C7CDE" w:rsidRDefault="006C7CDE" w:rsidP="006C7CDE">
            <w:pPr>
              <w:spacing w:before="0" w:after="0"/>
              <w:ind w:left="0"/>
              <w:jc w:val="both"/>
              <w:rPr>
                <w:rFonts w:eastAsia="Calibri" w:cs="Times New Roman"/>
                <w:szCs w:val="18"/>
              </w:rPr>
            </w:pPr>
            <w:r w:rsidRPr="006C7CDE">
              <w:rPr>
                <w:rFonts w:eastAsia="Calibri" w:cs="Times New Roman"/>
                <w:szCs w:val="18"/>
              </w:rPr>
              <w:t>a)</w:t>
            </w:r>
          </w:p>
        </w:tc>
        <w:tc>
          <w:tcPr>
            <w:tcW w:w="3929" w:type="dxa"/>
          </w:tcPr>
          <w:p w14:paraId="3E67C242" w14:textId="77777777" w:rsidR="006C7CDE" w:rsidRPr="006C7CDE" w:rsidRDefault="006C7CDE" w:rsidP="006C7CDE">
            <w:pPr>
              <w:ind w:left="0"/>
              <w:jc w:val="both"/>
              <w:rPr>
                <w:rFonts w:eastAsia="Calibri" w:cs="Times New Roman"/>
                <w:szCs w:val="18"/>
              </w:rPr>
            </w:pPr>
            <w:r w:rsidRPr="006C7CDE">
              <w:rPr>
                <w:rFonts w:eastAsia="Calibri" w:cs="Times New Roman"/>
                <w:szCs w:val="18"/>
              </w:rPr>
              <w:t>předložení výpisu z obchodního rejstříku nebo jiné obdobné evidence, pokud jiný právní předpis zápis do takové evidence vyžaduje.</w:t>
            </w:r>
          </w:p>
        </w:tc>
        <w:tc>
          <w:tcPr>
            <w:tcW w:w="3948" w:type="dxa"/>
          </w:tcPr>
          <w:p w14:paraId="2D94272F" w14:textId="77777777" w:rsidR="006C7CDE" w:rsidRPr="006C7CDE" w:rsidRDefault="006C7CDE" w:rsidP="006C7CDE">
            <w:pPr>
              <w:ind w:left="0"/>
              <w:jc w:val="both"/>
              <w:rPr>
                <w:rFonts w:eastAsia="Calibri" w:cs="Times New Roman"/>
                <w:szCs w:val="18"/>
              </w:rPr>
            </w:pPr>
            <w:r w:rsidRPr="006C7CDE">
              <w:rPr>
                <w:rFonts w:eastAsia="Calibri" w:cs="Times New Roman"/>
                <w:szCs w:val="18"/>
              </w:rPr>
              <w:t>Výpis z obchodního rejstříku či jiné obdobné evidence.</w:t>
            </w:r>
          </w:p>
          <w:p w14:paraId="27AFFB4F" w14:textId="77777777" w:rsidR="006C7CDE" w:rsidRPr="006C7CDE" w:rsidRDefault="006C7CDE" w:rsidP="006C7CDE">
            <w:pPr>
              <w:ind w:left="0"/>
              <w:jc w:val="both"/>
              <w:rPr>
                <w:rFonts w:eastAsia="Calibri" w:cs="Times New Roman"/>
                <w:b/>
                <w:szCs w:val="18"/>
                <w:u w:val="single"/>
              </w:rPr>
            </w:pPr>
          </w:p>
        </w:tc>
      </w:tr>
      <w:tr w:rsidR="006C7CDE" w:rsidRPr="006C7CDE" w14:paraId="33F03369" w14:textId="77777777" w:rsidTr="00B9462A">
        <w:tc>
          <w:tcPr>
            <w:tcW w:w="8207" w:type="dxa"/>
            <w:gridSpan w:val="3"/>
            <w:shd w:val="clear" w:color="auto" w:fill="D9D9D9" w:themeFill="background1" w:themeFillShade="D9"/>
            <w:vAlign w:val="center"/>
          </w:tcPr>
          <w:p w14:paraId="76C30DAA" w14:textId="40B6113E" w:rsidR="006C7CDE" w:rsidRPr="006C7CDE" w:rsidRDefault="006C7CDE" w:rsidP="006C7CDE">
            <w:pPr>
              <w:ind w:left="0"/>
              <w:jc w:val="both"/>
              <w:rPr>
                <w:rFonts w:eastAsia="Calibri" w:cs="Times New Roman"/>
                <w:szCs w:val="18"/>
              </w:rPr>
            </w:pPr>
          </w:p>
        </w:tc>
      </w:tr>
    </w:tbl>
    <w:p w14:paraId="543284BA" w14:textId="6451925C" w:rsidR="006C7CDE" w:rsidRPr="003E0B02" w:rsidRDefault="003E0B02" w:rsidP="003E0B02">
      <w:pPr>
        <w:jc w:val="both"/>
        <w:rPr>
          <w:u w:val="single"/>
        </w:rPr>
      </w:pPr>
      <w:r w:rsidRPr="003E0B02">
        <w:rPr>
          <w:u w:val="single"/>
        </w:rPr>
        <w:t xml:space="preserve">Dodavatelé jsou oprávněni v nabídce nahradit předložení dokladů o splnění profesní způsobilosti uvedených v tabulce výše čestným </w:t>
      </w:r>
      <w:r w:rsidRPr="00AB61B6">
        <w:rPr>
          <w:u w:val="single"/>
        </w:rPr>
        <w:t>prohlášením (</w:t>
      </w:r>
      <w:r w:rsidR="00182A09" w:rsidRPr="003A640C">
        <w:rPr>
          <w:rFonts w:eastAsia="Verdana" w:cs="Times New Roman"/>
          <w:noProof/>
          <w:szCs w:val="18"/>
          <w:u w:val="single"/>
        </w:rPr>
        <w:t xml:space="preserve">formulář č. </w:t>
      </w:r>
      <w:r w:rsidR="00FA2024" w:rsidRPr="003A640C">
        <w:rPr>
          <w:rFonts w:eastAsia="Verdana" w:cs="Times New Roman"/>
          <w:noProof/>
          <w:szCs w:val="18"/>
          <w:u w:val="single"/>
        </w:rPr>
        <w:t>1.</w:t>
      </w:r>
      <w:r w:rsidR="00182A09" w:rsidRPr="003A640C">
        <w:rPr>
          <w:rFonts w:eastAsia="Verdana" w:cs="Times New Roman"/>
          <w:noProof/>
          <w:szCs w:val="18"/>
          <w:u w:val="single"/>
        </w:rPr>
        <w:t>2., který tvoří součást přílohy č. 4 této zadávací dokumentace</w:t>
      </w:r>
      <w:r w:rsidRPr="00AB61B6">
        <w:rPr>
          <w:u w:val="single"/>
        </w:rPr>
        <w:t>). K</w:t>
      </w:r>
      <w:bookmarkStart w:id="5" w:name="_Hlk145943090"/>
      <w:r w:rsidR="00390A07" w:rsidRPr="00AB61B6">
        <w:rPr>
          <w:u w:val="single"/>
        </w:rPr>
        <w:t> </w:t>
      </w:r>
      <w:r w:rsidRPr="00AB61B6">
        <w:rPr>
          <w:u w:val="single"/>
        </w:rPr>
        <w:t>případn</w:t>
      </w:r>
      <w:r>
        <w:rPr>
          <w:u w:val="single"/>
        </w:rPr>
        <w:t xml:space="preserve">ému </w:t>
      </w:r>
      <w:bookmarkEnd w:id="5"/>
      <w:r w:rsidRPr="003E0B02">
        <w:rPr>
          <w:u w:val="single"/>
        </w:rPr>
        <w:t xml:space="preserve">zaslání originálů </w:t>
      </w:r>
      <w:r w:rsidR="00390A07">
        <w:rPr>
          <w:u w:val="single"/>
        </w:rPr>
        <w:t xml:space="preserve">nebo úředně ověřených kopií </w:t>
      </w:r>
      <w:r w:rsidRPr="003E0B02">
        <w:rPr>
          <w:u w:val="single"/>
        </w:rPr>
        <w:t>všech příslušných dokladů bude následně vyzván vybraný dodavatel.</w:t>
      </w:r>
    </w:p>
    <w:p w14:paraId="35BF34E0" w14:textId="37D62CE6" w:rsidR="003E0B02" w:rsidRPr="00BE4D95" w:rsidRDefault="003E0B02" w:rsidP="00646BC3">
      <w:pPr>
        <w:pStyle w:val="Nadpis2"/>
        <w:rPr>
          <w:u w:val="single"/>
        </w:rPr>
      </w:pPr>
      <w:r w:rsidRPr="00BE4D95">
        <w:rPr>
          <w:u w:val="single"/>
        </w:rPr>
        <w:t>Technická kvalifikace dle ust. § 79 odst. 2 písm. b) ZZVZ</w:t>
      </w:r>
    </w:p>
    <w:p w14:paraId="6C12C2C3" w14:textId="01630677" w:rsidR="0018072F" w:rsidRPr="001F4945" w:rsidRDefault="0018072F" w:rsidP="00646BC3">
      <w:pPr>
        <w:widowControl w:val="0"/>
        <w:spacing w:line="288" w:lineRule="auto"/>
        <w:ind w:left="1276"/>
        <w:jc w:val="both"/>
        <w:rPr>
          <w:szCs w:val="18"/>
        </w:rPr>
      </w:pPr>
      <w:r w:rsidRPr="001F4945">
        <w:rPr>
          <w:szCs w:val="18"/>
        </w:rPr>
        <w:t xml:space="preserve">Dodavatel je povinen prokázat splnění minimálních požadavků zadavatele na poskytnutí významných služeb předložením seznamu poskytnutých významných </w:t>
      </w:r>
      <w:r w:rsidRPr="00AB61B6">
        <w:rPr>
          <w:szCs w:val="18"/>
        </w:rPr>
        <w:t xml:space="preserve">služeb </w:t>
      </w:r>
      <w:r w:rsidRPr="003A640C">
        <w:rPr>
          <w:szCs w:val="18"/>
        </w:rPr>
        <w:t>ve formě formuláře č. 2.</w:t>
      </w:r>
      <w:r w:rsidR="00FA2024" w:rsidRPr="003A640C">
        <w:rPr>
          <w:szCs w:val="18"/>
        </w:rPr>
        <w:t>1</w:t>
      </w:r>
      <w:r w:rsidRPr="003A640C">
        <w:rPr>
          <w:szCs w:val="18"/>
        </w:rPr>
        <w:t>.</w:t>
      </w:r>
      <w:r w:rsidR="00FA2024" w:rsidRPr="003A640C">
        <w:rPr>
          <w:szCs w:val="18"/>
        </w:rPr>
        <w:t>, který tvoří součást přílohy č. 4 této zadávací dokumentace</w:t>
      </w:r>
      <w:r w:rsidR="000C410E" w:rsidRPr="003A640C">
        <w:rPr>
          <w:szCs w:val="18"/>
        </w:rPr>
        <w:t>.</w:t>
      </w:r>
    </w:p>
    <w:p w14:paraId="286322EF" w14:textId="13940487" w:rsidR="00CD77F3" w:rsidRPr="00CD77F3" w:rsidRDefault="0018072F" w:rsidP="00E57316">
      <w:pPr>
        <w:ind w:left="1276"/>
        <w:jc w:val="both"/>
        <w:rPr>
          <w:rFonts w:eastAsia="Calibri"/>
          <w:szCs w:val="18"/>
        </w:rPr>
      </w:pPr>
      <w:r w:rsidRPr="001F4945">
        <w:rPr>
          <w:rFonts w:eastAsia="Calibri"/>
          <w:szCs w:val="18"/>
        </w:rPr>
        <w:t>Pro účely této zadávací dokumentace se „</w:t>
      </w:r>
      <w:r w:rsidRPr="001F4945">
        <w:rPr>
          <w:rFonts w:eastAsia="Calibri"/>
          <w:i/>
          <w:iCs/>
          <w:szCs w:val="18"/>
        </w:rPr>
        <w:t>významnou službou</w:t>
      </w:r>
      <w:r w:rsidRPr="001F4945">
        <w:rPr>
          <w:rFonts w:eastAsia="Calibri"/>
          <w:szCs w:val="18"/>
        </w:rPr>
        <w:t>“ rozumí projekt s parametry stanovenými v tabulce níže.</w:t>
      </w:r>
    </w:p>
    <w:tbl>
      <w:tblPr>
        <w:tblW w:w="7371"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4823"/>
        <w:gridCol w:w="2548"/>
      </w:tblGrid>
      <w:tr w:rsidR="00287BC4" w:rsidRPr="00287BC4" w14:paraId="7DA02C0B" w14:textId="77777777" w:rsidTr="00646BC3">
        <w:trPr>
          <w:trHeight w:val="340"/>
        </w:trPr>
        <w:tc>
          <w:tcPr>
            <w:tcW w:w="4823" w:type="dxa"/>
            <w:shd w:val="clear" w:color="auto" w:fill="BFBFBF" w:themeFill="background1" w:themeFillShade="BF"/>
            <w:vAlign w:val="center"/>
          </w:tcPr>
          <w:p w14:paraId="3B0EC328" w14:textId="644C396C" w:rsidR="00287BC4" w:rsidRPr="00287BC4" w:rsidRDefault="00287BC4" w:rsidP="00287BC4">
            <w:pPr>
              <w:keepNext/>
              <w:spacing w:before="60" w:after="60"/>
              <w:ind w:left="0"/>
              <w:rPr>
                <w:rFonts w:eastAsia="Calibri" w:cs="Times New Roman"/>
                <w:b/>
                <w:bCs/>
                <w:szCs w:val="18"/>
              </w:rPr>
            </w:pPr>
            <w:r w:rsidRPr="00287BC4">
              <w:rPr>
                <w:rFonts w:eastAsia="Calibri" w:cs="Times New Roman"/>
                <w:b/>
                <w:bCs/>
                <w:szCs w:val="18"/>
              </w:rPr>
              <w:t xml:space="preserve">Zadavatel požaduje </w:t>
            </w:r>
            <w:r w:rsidR="00CE1763">
              <w:rPr>
                <w:rFonts w:eastAsia="Calibri" w:cs="Times New Roman"/>
                <w:b/>
                <w:bCs/>
                <w:szCs w:val="18"/>
              </w:rPr>
              <w:t>zkušenost</w:t>
            </w:r>
            <w:r w:rsidRPr="00287BC4">
              <w:rPr>
                <w:rFonts w:eastAsia="Calibri" w:cs="Times New Roman"/>
                <w:b/>
                <w:bCs/>
                <w:szCs w:val="18"/>
              </w:rPr>
              <w:t xml:space="preserve"> dodavatele</w:t>
            </w:r>
            <w:r w:rsidRPr="00287BC4">
              <w:rPr>
                <w:rFonts w:eastAsia="Calibri" w:cs="Times New Roman"/>
                <w:b/>
                <w:bCs/>
                <w:szCs w:val="18"/>
              </w:rPr>
              <w:br/>
              <w:t>spočívající v poskytnutí:</w:t>
            </w:r>
          </w:p>
        </w:tc>
        <w:tc>
          <w:tcPr>
            <w:tcW w:w="2548" w:type="dxa"/>
            <w:shd w:val="clear" w:color="auto" w:fill="BFBFBF" w:themeFill="background1" w:themeFillShade="BF"/>
            <w:vAlign w:val="center"/>
          </w:tcPr>
          <w:p w14:paraId="4061A914" w14:textId="77777777" w:rsidR="00287BC4" w:rsidRPr="00287BC4" w:rsidRDefault="00287BC4" w:rsidP="00287BC4">
            <w:pPr>
              <w:keepNext/>
              <w:spacing w:before="60" w:after="60"/>
              <w:ind w:left="0"/>
              <w:jc w:val="center"/>
              <w:rPr>
                <w:rFonts w:eastAsia="Calibri" w:cs="Times New Roman"/>
                <w:b/>
                <w:bCs/>
                <w:szCs w:val="18"/>
              </w:rPr>
            </w:pPr>
            <w:r w:rsidRPr="00287BC4">
              <w:rPr>
                <w:rFonts w:eastAsia="Calibri" w:cs="Times New Roman"/>
                <w:b/>
                <w:bCs/>
                <w:szCs w:val="18"/>
              </w:rPr>
              <w:t>Způsob prokázání:</w:t>
            </w:r>
          </w:p>
        </w:tc>
      </w:tr>
      <w:tr w:rsidR="00287BC4" w:rsidRPr="00287BC4" w14:paraId="1A641310" w14:textId="77777777" w:rsidTr="00646BC3">
        <w:trPr>
          <w:trHeight w:val="340"/>
        </w:trPr>
        <w:tc>
          <w:tcPr>
            <w:tcW w:w="4823" w:type="dxa"/>
          </w:tcPr>
          <w:p w14:paraId="04C6A2A7" w14:textId="627A6283" w:rsidR="00287BC4" w:rsidRPr="00287BC4" w:rsidRDefault="00287BC4" w:rsidP="00287BC4">
            <w:pPr>
              <w:widowControl w:val="0"/>
              <w:autoSpaceDE w:val="0"/>
              <w:autoSpaceDN w:val="0"/>
              <w:adjustRightInd w:val="0"/>
              <w:ind w:left="0"/>
              <w:jc w:val="both"/>
              <w:rPr>
                <w:rFonts w:eastAsia="Times New Roman" w:cs="Times New Roman"/>
                <w:szCs w:val="18"/>
                <w:lang w:eastAsia="cs-CZ"/>
              </w:rPr>
            </w:pPr>
            <w:r w:rsidRPr="00287BC4">
              <w:rPr>
                <w:rFonts w:eastAsia="Times New Roman" w:cs="Times New Roman"/>
                <w:szCs w:val="18"/>
                <w:lang w:eastAsia="cs-CZ"/>
              </w:rPr>
              <w:t>Seznam významných služeb:</w:t>
            </w:r>
          </w:p>
          <w:p w14:paraId="535A8F7F" w14:textId="423881E9" w:rsidR="00287BC4" w:rsidRPr="006F72D8" w:rsidRDefault="00E00CB6" w:rsidP="00C93D25">
            <w:pPr>
              <w:widowControl w:val="0"/>
              <w:numPr>
                <w:ilvl w:val="0"/>
                <w:numId w:val="18"/>
              </w:numPr>
              <w:autoSpaceDE w:val="0"/>
              <w:autoSpaceDN w:val="0"/>
              <w:adjustRightInd w:val="0"/>
              <w:spacing w:before="0" w:after="0" w:line="240" w:lineRule="auto"/>
              <w:jc w:val="both"/>
              <w:rPr>
                <w:rFonts w:eastAsia="Times New Roman" w:cs="Times New Roman"/>
                <w:szCs w:val="18"/>
                <w:lang w:eastAsia="cs-CZ"/>
              </w:rPr>
            </w:pPr>
            <w:r w:rsidRPr="00E00CB6">
              <w:rPr>
                <w:rFonts w:eastAsia="Calibri" w:cs="Times New Roman"/>
                <w:szCs w:val="18"/>
              </w:rPr>
              <w:t xml:space="preserve">Alespoň </w:t>
            </w:r>
            <w:r w:rsidRPr="00E00CB6">
              <w:rPr>
                <w:rFonts w:eastAsia="Calibri" w:cs="Times New Roman"/>
                <w:b/>
                <w:bCs/>
                <w:szCs w:val="18"/>
              </w:rPr>
              <w:t>jeden PPP projekt</w:t>
            </w:r>
            <w:r w:rsidRPr="00E00CB6">
              <w:rPr>
                <w:rFonts w:eastAsia="Calibri" w:cs="Times New Roman"/>
                <w:szCs w:val="18"/>
              </w:rPr>
              <w:t xml:space="preserve">, k němuž dodavatel poskytoval </w:t>
            </w:r>
            <w:r w:rsidRPr="00DE4453">
              <w:rPr>
                <w:rFonts w:eastAsia="Calibri" w:cs="Times New Roman"/>
                <w:b/>
                <w:bCs/>
                <w:szCs w:val="18"/>
              </w:rPr>
              <w:t>právní poradenství</w:t>
            </w:r>
            <w:r w:rsidRPr="00E00CB6">
              <w:rPr>
                <w:rFonts w:eastAsia="Calibri" w:cs="Times New Roman"/>
                <w:szCs w:val="18"/>
              </w:rPr>
              <w:t xml:space="preserve">, přičemž se musí jednat o PPP projekt s celkovými investičními náklady (CAPEX) ve výši minimálně </w:t>
            </w:r>
            <w:r w:rsidRPr="00E00CB6">
              <w:rPr>
                <w:rFonts w:eastAsia="Calibri" w:cs="Times New Roman"/>
                <w:b/>
                <w:bCs/>
                <w:szCs w:val="18"/>
              </w:rPr>
              <w:t>5 mld. Kč bez DPH</w:t>
            </w:r>
            <w:r w:rsidRPr="00E00CB6">
              <w:rPr>
                <w:rFonts w:eastAsia="Calibri" w:cs="Times New Roman"/>
                <w:szCs w:val="18"/>
              </w:rPr>
              <w:t xml:space="preserve">, který úspěšně dosáhl finančního uzavření (anglicky: </w:t>
            </w:r>
            <w:proofErr w:type="spellStart"/>
            <w:r w:rsidRPr="00E00CB6">
              <w:rPr>
                <w:rFonts w:eastAsia="Calibri" w:cs="Times New Roman"/>
                <w:i/>
                <w:iCs/>
                <w:szCs w:val="18"/>
              </w:rPr>
              <w:t>financial</w:t>
            </w:r>
            <w:proofErr w:type="spellEnd"/>
            <w:r w:rsidRPr="00E00CB6">
              <w:rPr>
                <w:rFonts w:eastAsia="Calibri" w:cs="Times New Roman"/>
                <w:i/>
                <w:iCs/>
                <w:szCs w:val="18"/>
              </w:rPr>
              <w:t xml:space="preserve"> </w:t>
            </w:r>
            <w:proofErr w:type="spellStart"/>
            <w:r w:rsidRPr="00E00CB6">
              <w:rPr>
                <w:rFonts w:eastAsia="Calibri" w:cs="Times New Roman"/>
                <w:i/>
                <w:iCs/>
                <w:szCs w:val="18"/>
              </w:rPr>
              <w:t>close</w:t>
            </w:r>
            <w:proofErr w:type="spellEnd"/>
            <w:r w:rsidRPr="00E00CB6">
              <w:rPr>
                <w:rFonts w:eastAsia="Calibri" w:cs="Times New Roman"/>
                <w:szCs w:val="18"/>
              </w:rPr>
              <w:t xml:space="preserve">) a u něhož dodavatel poskytoval právní poradenství </w:t>
            </w:r>
            <w:r w:rsidRPr="00CF6A94">
              <w:rPr>
                <w:rFonts w:eastAsia="Calibri" w:cs="Times New Roman"/>
                <w:b/>
                <w:bCs/>
                <w:szCs w:val="18"/>
              </w:rPr>
              <w:t>po celou dobu trvání projektu</w:t>
            </w:r>
            <w:r w:rsidRPr="00E00CB6">
              <w:rPr>
                <w:rFonts w:eastAsia="Calibri" w:cs="Times New Roman"/>
                <w:szCs w:val="18"/>
              </w:rPr>
              <w:t>, počítaje ode dne zahájení zadávacího řízení na danou veřejnou zakázku.</w:t>
            </w:r>
          </w:p>
          <w:p w14:paraId="67A0BA9C" w14:textId="77777777" w:rsidR="006F72D8" w:rsidRPr="00287BC4" w:rsidRDefault="006F72D8" w:rsidP="006F72D8">
            <w:pPr>
              <w:widowControl w:val="0"/>
              <w:autoSpaceDE w:val="0"/>
              <w:autoSpaceDN w:val="0"/>
              <w:adjustRightInd w:val="0"/>
              <w:spacing w:before="0" w:after="0" w:line="240" w:lineRule="auto"/>
              <w:ind w:left="720"/>
              <w:jc w:val="both"/>
              <w:rPr>
                <w:rFonts w:eastAsia="Times New Roman" w:cs="Times New Roman"/>
                <w:szCs w:val="18"/>
                <w:lang w:eastAsia="cs-CZ"/>
              </w:rPr>
            </w:pPr>
          </w:p>
          <w:p w14:paraId="46089067" w14:textId="77777777" w:rsidR="006F72D8" w:rsidRPr="006F72D8" w:rsidRDefault="006F72D8" w:rsidP="00C93D25">
            <w:pPr>
              <w:widowControl w:val="0"/>
              <w:numPr>
                <w:ilvl w:val="0"/>
                <w:numId w:val="18"/>
              </w:numPr>
              <w:autoSpaceDE w:val="0"/>
              <w:autoSpaceDN w:val="0"/>
              <w:adjustRightInd w:val="0"/>
              <w:spacing w:before="0" w:after="0" w:line="240" w:lineRule="auto"/>
              <w:jc w:val="both"/>
              <w:rPr>
                <w:rFonts w:eastAsia="Times New Roman" w:cs="Times New Roman"/>
                <w:szCs w:val="18"/>
                <w:lang w:eastAsia="cs-CZ"/>
              </w:rPr>
            </w:pPr>
            <w:r w:rsidRPr="006F72D8">
              <w:rPr>
                <w:rFonts w:eastAsia="Calibri" w:cs="Times New Roman"/>
                <w:szCs w:val="18"/>
              </w:rPr>
              <w:t xml:space="preserve">Alespoň </w:t>
            </w:r>
            <w:r w:rsidRPr="006F72D8">
              <w:rPr>
                <w:rFonts w:eastAsia="Calibri" w:cs="Times New Roman"/>
                <w:b/>
                <w:bCs/>
                <w:szCs w:val="18"/>
              </w:rPr>
              <w:t>jeden PPP projekt</w:t>
            </w:r>
            <w:r w:rsidRPr="006F72D8">
              <w:rPr>
                <w:rFonts w:eastAsia="Calibri" w:cs="Times New Roman"/>
                <w:szCs w:val="18"/>
              </w:rPr>
              <w:t xml:space="preserve">, k němuž dodavatel poskytoval </w:t>
            </w:r>
            <w:r w:rsidRPr="006F72D8">
              <w:rPr>
                <w:rFonts w:eastAsia="Calibri" w:cs="Times New Roman"/>
                <w:b/>
                <w:bCs/>
                <w:szCs w:val="18"/>
              </w:rPr>
              <w:t xml:space="preserve">finanční </w:t>
            </w:r>
            <w:r w:rsidRPr="006F72D8">
              <w:rPr>
                <w:rFonts w:eastAsia="Times New Roman" w:cs="Times New Roman"/>
                <w:b/>
                <w:bCs/>
                <w:szCs w:val="18"/>
              </w:rPr>
              <w:t xml:space="preserve">a/nebo </w:t>
            </w:r>
            <w:r w:rsidRPr="006F72D8">
              <w:rPr>
                <w:rFonts w:eastAsia="Calibri" w:cs="Times New Roman"/>
                <w:b/>
                <w:bCs/>
                <w:szCs w:val="18"/>
              </w:rPr>
              <w:t>ekonomické poradenství</w:t>
            </w:r>
            <w:r w:rsidRPr="006F72D8">
              <w:rPr>
                <w:rFonts w:eastAsia="Calibri" w:cs="Times New Roman"/>
                <w:szCs w:val="18"/>
              </w:rPr>
              <w:t xml:space="preserve">, přičemž se musí jednat o PPP projekt s celkovými investičními náklady (CAPEX) ve výši minimálně </w:t>
            </w:r>
            <w:r w:rsidRPr="006F72D8">
              <w:rPr>
                <w:rFonts w:eastAsia="Calibri" w:cs="Times New Roman"/>
                <w:b/>
                <w:bCs/>
                <w:szCs w:val="18"/>
              </w:rPr>
              <w:t>5 mld. Kč bez DPH</w:t>
            </w:r>
            <w:r w:rsidRPr="006F72D8">
              <w:rPr>
                <w:rFonts w:eastAsia="Calibri" w:cs="Times New Roman"/>
                <w:szCs w:val="18"/>
              </w:rPr>
              <w:t xml:space="preserve">, který úspěšně dosáhl finančního uzavření (anglicky: </w:t>
            </w:r>
            <w:proofErr w:type="spellStart"/>
            <w:r w:rsidRPr="006F72D8">
              <w:rPr>
                <w:rFonts w:eastAsia="Calibri" w:cs="Times New Roman"/>
                <w:i/>
                <w:iCs/>
                <w:szCs w:val="18"/>
              </w:rPr>
              <w:t>financial</w:t>
            </w:r>
            <w:proofErr w:type="spellEnd"/>
            <w:r w:rsidRPr="006F72D8">
              <w:rPr>
                <w:rFonts w:eastAsia="Calibri" w:cs="Times New Roman"/>
                <w:i/>
                <w:iCs/>
                <w:szCs w:val="18"/>
              </w:rPr>
              <w:t xml:space="preserve"> </w:t>
            </w:r>
            <w:proofErr w:type="spellStart"/>
            <w:r w:rsidRPr="006F72D8">
              <w:rPr>
                <w:rFonts w:eastAsia="Calibri" w:cs="Times New Roman"/>
                <w:i/>
                <w:iCs/>
                <w:szCs w:val="18"/>
              </w:rPr>
              <w:t>close</w:t>
            </w:r>
            <w:proofErr w:type="spellEnd"/>
            <w:r w:rsidRPr="006F72D8">
              <w:rPr>
                <w:rFonts w:eastAsia="Calibri" w:cs="Times New Roman"/>
                <w:szCs w:val="18"/>
              </w:rPr>
              <w:t xml:space="preserve">) a u něhož </w:t>
            </w:r>
            <w:r w:rsidRPr="006F72D8">
              <w:rPr>
                <w:rFonts w:eastAsia="Calibri" w:cs="Times New Roman"/>
                <w:szCs w:val="18"/>
              </w:rPr>
              <w:lastRenderedPageBreak/>
              <w:t xml:space="preserve">dodavatel poskytoval finanční a/nebo ekonomické poradenství </w:t>
            </w:r>
            <w:r w:rsidRPr="006F72D8">
              <w:rPr>
                <w:rFonts w:eastAsia="Calibri" w:cs="Times New Roman"/>
                <w:b/>
                <w:bCs/>
                <w:szCs w:val="18"/>
              </w:rPr>
              <w:t>po celou dobu trvání projektu</w:t>
            </w:r>
            <w:r w:rsidRPr="006F72D8">
              <w:rPr>
                <w:rFonts w:eastAsia="Calibri" w:cs="Times New Roman"/>
                <w:szCs w:val="18"/>
              </w:rPr>
              <w:t>, počítaje ode dne zahájení zadávacího řízení na danou veřejnou zakázku.</w:t>
            </w:r>
          </w:p>
          <w:p w14:paraId="543FE921" w14:textId="153C5153" w:rsidR="00287BC4" w:rsidRPr="00287BC4" w:rsidRDefault="00287BC4" w:rsidP="006F72D8">
            <w:pPr>
              <w:widowControl w:val="0"/>
              <w:autoSpaceDE w:val="0"/>
              <w:autoSpaceDN w:val="0"/>
              <w:adjustRightInd w:val="0"/>
              <w:spacing w:before="0" w:after="0" w:line="240" w:lineRule="auto"/>
              <w:ind w:left="720"/>
              <w:jc w:val="both"/>
              <w:rPr>
                <w:rFonts w:eastAsia="Times New Roman" w:cs="Times New Roman"/>
                <w:szCs w:val="18"/>
                <w:lang w:eastAsia="cs-CZ"/>
              </w:rPr>
            </w:pPr>
            <w:r w:rsidRPr="00287BC4">
              <w:rPr>
                <w:rFonts w:eastAsia="Calibri" w:cs="Times New Roman"/>
                <w:szCs w:val="18"/>
              </w:rPr>
              <w:t xml:space="preserve">  </w:t>
            </w:r>
          </w:p>
          <w:p w14:paraId="68CB46D3" w14:textId="31E45C0F" w:rsidR="00287BC4" w:rsidRPr="00B9462A" w:rsidRDefault="006F72D8" w:rsidP="00C93D25">
            <w:pPr>
              <w:widowControl w:val="0"/>
              <w:numPr>
                <w:ilvl w:val="0"/>
                <w:numId w:val="18"/>
              </w:numPr>
              <w:autoSpaceDE w:val="0"/>
              <w:autoSpaceDN w:val="0"/>
              <w:adjustRightInd w:val="0"/>
              <w:spacing w:before="0" w:after="0" w:line="240" w:lineRule="auto"/>
              <w:jc w:val="both"/>
              <w:rPr>
                <w:rFonts w:eastAsia="Times New Roman" w:cs="Times New Roman"/>
                <w:szCs w:val="18"/>
                <w:lang w:eastAsia="cs-CZ"/>
              </w:rPr>
            </w:pPr>
            <w:r w:rsidRPr="006F72D8">
              <w:rPr>
                <w:rFonts w:eastAsia="Calibri" w:cs="Times New Roman"/>
                <w:szCs w:val="18"/>
              </w:rPr>
              <w:t xml:space="preserve">Alespoň </w:t>
            </w:r>
            <w:r w:rsidRPr="006F72D8">
              <w:rPr>
                <w:rFonts w:eastAsia="Calibri" w:cs="Times New Roman"/>
                <w:b/>
                <w:bCs/>
                <w:szCs w:val="18"/>
              </w:rPr>
              <w:t>jeden PPP projekt</w:t>
            </w:r>
            <w:r w:rsidRPr="006F72D8">
              <w:rPr>
                <w:rFonts w:eastAsia="Calibri" w:cs="Times New Roman"/>
                <w:szCs w:val="18"/>
              </w:rPr>
              <w:t xml:space="preserve">, k němuž dodavatel poskytoval </w:t>
            </w:r>
            <w:r w:rsidRPr="006F72D8">
              <w:rPr>
                <w:rFonts w:eastAsia="Calibri" w:cs="Times New Roman"/>
                <w:b/>
                <w:bCs/>
                <w:szCs w:val="18"/>
              </w:rPr>
              <w:t>technické poradenství</w:t>
            </w:r>
            <w:r w:rsidRPr="006F72D8">
              <w:rPr>
                <w:rFonts w:eastAsia="Calibri" w:cs="Times New Roman"/>
                <w:szCs w:val="18"/>
              </w:rPr>
              <w:t xml:space="preserve">, přičemž se musí jednat o PPP projekt s celkovými investičními náklady (CAPEX) ve výši minimálně </w:t>
            </w:r>
            <w:r w:rsidRPr="006F72D8">
              <w:rPr>
                <w:rFonts w:eastAsia="Calibri" w:cs="Times New Roman"/>
                <w:b/>
                <w:bCs/>
                <w:szCs w:val="18"/>
              </w:rPr>
              <w:t>5 mld. Kč bez DPH</w:t>
            </w:r>
            <w:r w:rsidRPr="006F72D8">
              <w:rPr>
                <w:rFonts w:eastAsia="Calibri" w:cs="Times New Roman"/>
                <w:szCs w:val="18"/>
              </w:rPr>
              <w:t xml:space="preserve">, který úspěšně dosáhl finančního uzavření (anglicky: </w:t>
            </w:r>
            <w:proofErr w:type="spellStart"/>
            <w:r w:rsidRPr="006F72D8">
              <w:rPr>
                <w:rFonts w:eastAsia="Calibri" w:cs="Times New Roman"/>
                <w:i/>
                <w:iCs/>
                <w:szCs w:val="18"/>
              </w:rPr>
              <w:t>financial</w:t>
            </w:r>
            <w:proofErr w:type="spellEnd"/>
            <w:r w:rsidRPr="006F72D8">
              <w:rPr>
                <w:rFonts w:eastAsia="Calibri" w:cs="Times New Roman"/>
                <w:i/>
                <w:iCs/>
                <w:szCs w:val="18"/>
              </w:rPr>
              <w:t xml:space="preserve"> </w:t>
            </w:r>
            <w:proofErr w:type="spellStart"/>
            <w:r w:rsidRPr="006F72D8">
              <w:rPr>
                <w:rFonts w:eastAsia="Calibri" w:cs="Times New Roman"/>
                <w:i/>
                <w:iCs/>
                <w:szCs w:val="18"/>
              </w:rPr>
              <w:t>close</w:t>
            </w:r>
            <w:proofErr w:type="spellEnd"/>
            <w:r w:rsidRPr="006F72D8">
              <w:rPr>
                <w:rFonts w:eastAsia="Calibri" w:cs="Times New Roman"/>
                <w:szCs w:val="18"/>
              </w:rPr>
              <w:t xml:space="preserve">) a u něhož dodavatel poskytoval technické poradenství </w:t>
            </w:r>
            <w:r w:rsidRPr="006F72D8">
              <w:rPr>
                <w:rFonts w:eastAsia="Calibri" w:cs="Times New Roman"/>
                <w:b/>
                <w:bCs/>
                <w:szCs w:val="18"/>
              </w:rPr>
              <w:t>po celou dobu trvání projektu</w:t>
            </w:r>
            <w:r w:rsidRPr="006F72D8">
              <w:rPr>
                <w:rFonts w:eastAsia="Calibri" w:cs="Times New Roman"/>
                <w:szCs w:val="18"/>
              </w:rPr>
              <w:t>, počítaje ode dne zahájení zadávacího řízení na danou veřejnou zakázku.</w:t>
            </w:r>
          </w:p>
          <w:p w14:paraId="32DF89B4" w14:textId="3B32FCA1" w:rsidR="00B9462A" w:rsidRPr="00287BC4" w:rsidRDefault="00B9462A" w:rsidP="00B9462A">
            <w:pPr>
              <w:widowControl w:val="0"/>
              <w:autoSpaceDE w:val="0"/>
              <w:autoSpaceDN w:val="0"/>
              <w:adjustRightInd w:val="0"/>
              <w:spacing w:before="0" w:after="0" w:line="240" w:lineRule="auto"/>
              <w:ind w:left="0"/>
              <w:jc w:val="both"/>
              <w:rPr>
                <w:rFonts w:eastAsia="Times New Roman" w:cs="Times New Roman"/>
                <w:szCs w:val="18"/>
                <w:lang w:eastAsia="cs-CZ"/>
              </w:rPr>
            </w:pPr>
          </w:p>
        </w:tc>
        <w:tc>
          <w:tcPr>
            <w:tcW w:w="2548" w:type="dxa"/>
          </w:tcPr>
          <w:p w14:paraId="44B29BC0" w14:textId="3939A19C" w:rsidR="00287BC4" w:rsidRPr="00287BC4" w:rsidRDefault="00287BC4" w:rsidP="00287BC4">
            <w:pPr>
              <w:ind w:left="0"/>
              <w:jc w:val="both"/>
              <w:rPr>
                <w:rFonts w:eastAsia="Calibri" w:cs="Times New Roman"/>
                <w:szCs w:val="18"/>
              </w:rPr>
            </w:pPr>
            <w:r w:rsidRPr="00287BC4">
              <w:rPr>
                <w:rFonts w:eastAsia="Calibri" w:cs="Times New Roman"/>
                <w:szCs w:val="18"/>
              </w:rPr>
              <w:lastRenderedPageBreak/>
              <w:t>Seznam realizovaných služeb (</w:t>
            </w:r>
            <w:r w:rsidRPr="003A640C">
              <w:rPr>
                <w:rFonts w:eastAsia="Calibri" w:cs="Times New Roman"/>
                <w:szCs w:val="18"/>
              </w:rPr>
              <w:t xml:space="preserve">formulář </w:t>
            </w:r>
            <w:r w:rsidR="00BE0505" w:rsidRPr="003A640C">
              <w:rPr>
                <w:rFonts w:eastAsia="Calibri" w:cs="Times New Roman"/>
                <w:szCs w:val="18"/>
              </w:rPr>
              <w:t>č. 2.1.</w:t>
            </w:r>
            <w:r w:rsidRPr="003A640C">
              <w:rPr>
                <w:rFonts w:eastAsia="Calibri" w:cs="Times New Roman"/>
                <w:szCs w:val="18"/>
              </w:rPr>
              <w:t>)</w:t>
            </w:r>
          </w:p>
          <w:p w14:paraId="130DFB08" w14:textId="77777777" w:rsidR="00287BC4" w:rsidRPr="00287BC4" w:rsidRDefault="00287BC4" w:rsidP="00287BC4">
            <w:pPr>
              <w:ind w:left="0"/>
              <w:jc w:val="both"/>
              <w:rPr>
                <w:rFonts w:eastAsia="Calibri" w:cs="Times New Roman"/>
                <w:szCs w:val="18"/>
              </w:rPr>
            </w:pPr>
          </w:p>
        </w:tc>
      </w:tr>
    </w:tbl>
    <w:p w14:paraId="30155398" w14:textId="6D96B961" w:rsidR="00287BC4" w:rsidRDefault="008C0980" w:rsidP="00646BC3">
      <w:pPr>
        <w:ind w:left="1276"/>
        <w:jc w:val="both"/>
      </w:pPr>
      <w:r w:rsidRPr="008C0980">
        <w:t xml:space="preserve">Zadavatel pro vyloučení pochybností uvádí, že dodavatel je oprávněn jedním poskytnutým projektem prokázat i více bodů technické kvalifikace uvedené výše. Dodavatel tedy může předložit jeden konkrétní PPP projekt pro naplnění kritérií i), </w:t>
      </w:r>
      <w:proofErr w:type="spellStart"/>
      <w:r w:rsidRPr="008C0980">
        <w:t>ii</w:t>
      </w:r>
      <w:proofErr w:type="spellEnd"/>
      <w:r w:rsidRPr="008C0980">
        <w:t xml:space="preserve">) a </w:t>
      </w:r>
      <w:proofErr w:type="spellStart"/>
      <w:r w:rsidRPr="008C0980">
        <w:t>iii</w:t>
      </w:r>
      <w:proofErr w:type="spellEnd"/>
      <w:r w:rsidRPr="008C0980">
        <w:t xml:space="preserve">), pokud v rámci tohoto projektu budou naplněna jednotlivá kritéria uvedená v bodech i), </w:t>
      </w:r>
      <w:proofErr w:type="spellStart"/>
      <w:r w:rsidRPr="008C0980">
        <w:t>ii</w:t>
      </w:r>
      <w:proofErr w:type="spellEnd"/>
      <w:r w:rsidRPr="008C0980">
        <w:t xml:space="preserve">) a </w:t>
      </w:r>
      <w:proofErr w:type="spellStart"/>
      <w:r w:rsidRPr="008C0980">
        <w:t>iii</w:t>
      </w:r>
      <w:proofErr w:type="spellEnd"/>
      <w:r w:rsidRPr="008C0980">
        <w:t>).</w:t>
      </w:r>
    </w:p>
    <w:p w14:paraId="147E3C99" w14:textId="52F2C065" w:rsidR="00EA0D60" w:rsidRDefault="00EA0D60" w:rsidP="00646BC3">
      <w:pPr>
        <w:ind w:left="1276"/>
        <w:jc w:val="both"/>
      </w:pPr>
      <w:r w:rsidRPr="00EA0D60">
        <w:rPr>
          <w:rFonts w:eastAsia="Calibri" w:cs="Times New Roman"/>
          <w:szCs w:val="18"/>
        </w:rPr>
        <w:t xml:space="preserve">Pokud byla některá z referenčních zakázek plněna v zemi odlišné od České republiky, tak dodavatelé </w:t>
      </w:r>
      <w:r w:rsidRPr="00EA0D60">
        <w:rPr>
          <w:rFonts w:eastAsia="Calibri" w:cs="Times New Roman"/>
          <w:b/>
          <w:bCs/>
          <w:szCs w:val="18"/>
        </w:rPr>
        <w:t>uvedou v předmětných dokumentech hodnotu referenční zakázky</w:t>
      </w:r>
      <w:r w:rsidRPr="00EA0D60">
        <w:rPr>
          <w:rFonts w:eastAsia="Calibri" w:cs="Times New Roman"/>
          <w:szCs w:val="18"/>
        </w:rPr>
        <w:t xml:space="preserve"> </w:t>
      </w:r>
      <w:r w:rsidRPr="00EA0D60">
        <w:rPr>
          <w:rFonts w:eastAsia="Calibri" w:cs="Times New Roman"/>
          <w:b/>
          <w:bCs/>
          <w:szCs w:val="18"/>
          <w:u w:val="single"/>
        </w:rPr>
        <w:t>v měně této jiné země</w:t>
      </w:r>
      <w:r w:rsidRPr="00EA0D60">
        <w:rPr>
          <w:rFonts w:eastAsia="Calibri" w:cs="Times New Roman"/>
          <w:szCs w:val="18"/>
        </w:rPr>
        <w:t xml:space="preserve"> a </w:t>
      </w:r>
      <w:r w:rsidRPr="00EA0D60">
        <w:rPr>
          <w:rFonts w:eastAsia="Calibri" w:cs="Times New Roman"/>
          <w:b/>
          <w:bCs/>
          <w:szCs w:val="18"/>
        </w:rPr>
        <w:t>zadavatel poté při posuzování daných referenčních zakázek provede přepočet hodnoty</w:t>
      </w:r>
      <w:r w:rsidRPr="00EA0D60">
        <w:rPr>
          <w:rFonts w:eastAsia="Calibri" w:cs="Times New Roman"/>
          <w:szCs w:val="18"/>
        </w:rPr>
        <w:t xml:space="preserve"> z jiné měny na CZK dle kurzů zveřejněných Českou národní bankou</w:t>
      </w:r>
      <w:r w:rsidRPr="00EA0D60">
        <w:rPr>
          <w:rFonts w:eastAsia="Calibri" w:cs="Times New Roman"/>
          <w:szCs w:val="18"/>
          <w:vertAlign w:val="superscript"/>
        </w:rPr>
        <w:footnoteReference w:id="1"/>
      </w:r>
      <w:r w:rsidRPr="00EA0D60">
        <w:rPr>
          <w:rFonts w:eastAsia="Calibri" w:cs="Times New Roman"/>
          <w:szCs w:val="18"/>
        </w:rPr>
        <w:t xml:space="preserve"> ke dni, ve kterém bylo zahájeno toto zadávací řízení.</w:t>
      </w:r>
    </w:p>
    <w:p w14:paraId="1098CCBA" w14:textId="4F265394" w:rsidR="00EA0D60" w:rsidRPr="00BE4D95" w:rsidRDefault="00EA0D60" w:rsidP="00646BC3">
      <w:pPr>
        <w:pStyle w:val="Nadpis2"/>
        <w:rPr>
          <w:u w:val="single"/>
        </w:rPr>
      </w:pPr>
      <w:r w:rsidRPr="00BE4D95">
        <w:rPr>
          <w:u w:val="single"/>
        </w:rPr>
        <w:t>Technická kvalifikace dle ust. § 79 odst. 2 písm. c) a d) ZZVZ</w:t>
      </w:r>
    </w:p>
    <w:p w14:paraId="55CD1908" w14:textId="0DFAE66B" w:rsidR="00EA0D60" w:rsidRDefault="008C39D7" w:rsidP="00646BC3">
      <w:pPr>
        <w:ind w:left="1276"/>
        <w:jc w:val="both"/>
      </w:pPr>
      <w:r w:rsidRPr="008C39D7">
        <w:t>Technické kvalifikační předpoklady podle ust. § 79 odst. 2 písm. c) a d) ZZVZ splňuje dodavatel, který bude mít k dispozici realizační tým v tomto složení:</w:t>
      </w:r>
    </w:p>
    <w:p w14:paraId="5382AC7A"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bookmarkStart w:id="6" w:name="_Hlk124339841"/>
      <w:r w:rsidRPr="008C39D7">
        <w:rPr>
          <w:rFonts w:eastAsia="Calibri" w:cs="Times New Roman"/>
          <w:szCs w:val="18"/>
        </w:rPr>
        <w:t>Člen týmu L1 – vedoucí týmu právního poradenství pro PPP</w:t>
      </w:r>
    </w:p>
    <w:p w14:paraId="571FA4E7"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L2 – právní poradce v oblasti PPP</w:t>
      </w:r>
    </w:p>
    <w:p w14:paraId="740610ED"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L3 – právní poradce se specializací na české právo</w:t>
      </w:r>
    </w:p>
    <w:p w14:paraId="27C43A3A"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L4 – právní poradce se specializací na české právo</w:t>
      </w:r>
    </w:p>
    <w:p w14:paraId="2DFA8CBA" w14:textId="77777777" w:rsidR="008C39D7" w:rsidRPr="008C39D7" w:rsidRDefault="008C39D7" w:rsidP="00646BC3">
      <w:pPr>
        <w:spacing w:before="0" w:after="0"/>
        <w:ind w:left="1843" w:hanging="567"/>
        <w:jc w:val="both"/>
        <w:rPr>
          <w:rFonts w:eastAsia="Calibri" w:cs="Times New Roman"/>
          <w:szCs w:val="18"/>
        </w:rPr>
      </w:pPr>
    </w:p>
    <w:p w14:paraId="7FF5843F"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F1 – vedoucí týmu finančního a ekonomického poradenství pro PPP</w:t>
      </w:r>
    </w:p>
    <w:p w14:paraId="08DF6C70"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F2 – finanční a ekonomický poradce v oblasti PPP</w:t>
      </w:r>
    </w:p>
    <w:p w14:paraId="7E4FA86D"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F3 – finanční a ekonomický poradce</w:t>
      </w:r>
    </w:p>
    <w:p w14:paraId="50FD5016"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F4 – finanční a ekonomický poradce</w:t>
      </w:r>
    </w:p>
    <w:p w14:paraId="20F64AD0" w14:textId="77777777" w:rsidR="008C39D7" w:rsidRPr="008C39D7" w:rsidRDefault="008C39D7" w:rsidP="00646BC3">
      <w:pPr>
        <w:spacing w:before="0" w:after="0"/>
        <w:ind w:left="1843" w:hanging="567"/>
        <w:jc w:val="both"/>
        <w:rPr>
          <w:rFonts w:eastAsia="Calibri" w:cs="Times New Roman"/>
          <w:szCs w:val="18"/>
        </w:rPr>
      </w:pPr>
    </w:p>
    <w:p w14:paraId="23A0D9D7"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T1 – vedoucí týmu technického poradenství pro PPP</w:t>
      </w:r>
    </w:p>
    <w:p w14:paraId="6CD1E37F"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T2 – technický poradce v oblasti PPP</w:t>
      </w:r>
    </w:p>
    <w:p w14:paraId="4B116989"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r w:rsidRPr="008C39D7">
        <w:rPr>
          <w:rFonts w:eastAsia="Calibri" w:cs="Times New Roman"/>
          <w:szCs w:val="18"/>
        </w:rPr>
        <w:t>Člen týmu T3 – technický poradce v oblasti investorské přípravy staveb dopravní infrastruktury v ČR se znalostí BIM</w:t>
      </w:r>
    </w:p>
    <w:p w14:paraId="760A83E8" w14:textId="77777777" w:rsidR="008C39D7" w:rsidRPr="008C39D7" w:rsidRDefault="008C39D7" w:rsidP="00646BC3">
      <w:pPr>
        <w:widowControl w:val="0"/>
        <w:numPr>
          <w:ilvl w:val="1"/>
          <w:numId w:val="19"/>
        </w:numPr>
        <w:spacing w:before="0" w:after="0" w:line="240" w:lineRule="auto"/>
        <w:ind w:left="1843" w:hanging="567"/>
        <w:jc w:val="both"/>
        <w:rPr>
          <w:rFonts w:eastAsia="Calibri" w:cs="Times New Roman"/>
          <w:szCs w:val="18"/>
        </w:rPr>
      </w:pPr>
      <w:bookmarkStart w:id="7" w:name="_Hlk139301324"/>
      <w:r w:rsidRPr="008C39D7">
        <w:rPr>
          <w:rFonts w:eastAsia="Calibri" w:cs="Times New Roman"/>
          <w:szCs w:val="18"/>
        </w:rPr>
        <w:t>Člen týmu</w:t>
      </w:r>
      <w:bookmarkEnd w:id="7"/>
      <w:r w:rsidRPr="008C39D7">
        <w:rPr>
          <w:rFonts w:eastAsia="Calibri" w:cs="Times New Roman"/>
          <w:szCs w:val="18"/>
        </w:rPr>
        <w:t xml:space="preserve"> T4 – technický poradce v oblasti investorské přípravy staveb dopravní infrastruktury v ČR</w:t>
      </w:r>
    </w:p>
    <w:bookmarkEnd w:id="6"/>
    <w:p w14:paraId="0A27B406" w14:textId="2C98C0EA" w:rsidR="008C39D7" w:rsidRDefault="008C39D7" w:rsidP="00646BC3">
      <w:pPr>
        <w:ind w:left="1276"/>
        <w:jc w:val="both"/>
      </w:pPr>
      <w:r w:rsidRPr="008C39D7">
        <w:rPr>
          <w:rFonts w:eastAsia="Calibri" w:cs="Times New Roman"/>
          <w:szCs w:val="18"/>
        </w:rPr>
        <w:t>Členové realizačního týmu musí splňovat níže uvedené podmínky (což musí vyplývat z dokumentů předložených dodavatelem v rámci nabídky):</w:t>
      </w:r>
    </w:p>
    <w:tbl>
      <w:tblPr>
        <w:tblW w:w="7513"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332"/>
        <w:gridCol w:w="4881"/>
        <w:gridCol w:w="2300"/>
      </w:tblGrid>
      <w:tr w:rsidR="008C39D7" w:rsidRPr="008C39D7" w14:paraId="40D5D9C6" w14:textId="77777777" w:rsidTr="00646BC3">
        <w:trPr>
          <w:trHeight w:val="340"/>
        </w:trPr>
        <w:tc>
          <w:tcPr>
            <w:tcW w:w="5200" w:type="dxa"/>
            <w:gridSpan w:val="2"/>
            <w:shd w:val="clear" w:color="auto" w:fill="BFBFBF"/>
            <w:vAlign w:val="center"/>
          </w:tcPr>
          <w:p w14:paraId="49A3AE56" w14:textId="77777777" w:rsidR="008C39D7" w:rsidRPr="008C39D7" w:rsidRDefault="008C39D7" w:rsidP="008C39D7">
            <w:pPr>
              <w:keepNext/>
              <w:spacing w:before="60" w:after="60"/>
              <w:ind w:left="0"/>
              <w:jc w:val="center"/>
              <w:rPr>
                <w:rFonts w:eastAsia="Calibri" w:cs="Times New Roman"/>
                <w:b/>
                <w:bCs/>
                <w:szCs w:val="18"/>
              </w:rPr>
            </w:pPr>
            <w:r w:rsidRPr="008C39D7">
              <w:rPr>
                <w:rFonts w:eastAsia="Calibri" w:cs="Times New Roman"/>
                <w:b/>
                <w:bCs/>
                <w:szCs w:val="18"/>
              </w:rPr>
              <w:t>Zadavatel požaduje:</w:t>
            </w:r>
          </w:p>
        </w:tc>
        <w:tc>
          <w:tcPr>
            <w:tcW w:w="2313" w:type="dxa"/>
            <w:shd w:val="clear" w:color="auto" w:fill="BFBFBF"/>
            <w:vAlign w:val="center"/>
          </w:tcPr>
          <w:p w14:paraId="2763F5B5" w14:textId="77777777" w:rsidR="008C39D7" w:rsidRPr="008C39D7" w:rsidRDefault="008C39D7" w:rsidP="008C39D7">
            <w:pPr>
              <w:keepNext/>
              <w:spacing w:before="60" w:after="60"/>
              <w:ind w:left="0"/>
              <w:jc w:val="center"/>
              <w:rPr>
                <w:rFonts w:eastAsia="Calibri" w:cs="Times New Roman"/>
                <w:b/>
                <w:bCs/>
                <w:szCs w:val="18"/>
              </w:rPr>
            </w:pPr>
            <w:r w:rsidRPr="008C39D7">
              <w:rPr>
                <w:rFonts w:eastAsia="Calibri" w:cs="Times New Roman"/>
                <w:b/>
                <w:bCs/>
                <w:szCs w:val="18"/>
              </w:rPr>
              <w:t>Způsob prokázání:</w:t>
            </w:r>
          </w:p>
        </w:tc>
      </w:tr>
      <w:tr w:rsidR="008C39D7" w:rsidRPr="008C39D7" w14:paraId="4F56F618" w14:textId="77777777" w:rsidTr="00646BC3">
        <w:trPr>
          <w:trHeight w:val="340"/>
        </w:trPr>
        <w:tc>
          <w:tcPr>
            <w:tcW w:w="284" w:type="dxa"/>
            <w:vAlign w:val="center"/>
          </w:tcPr>
          <w:p w14:paraId="67106389"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a)</w:t>
            </w:r>
          </w:p>
        </w:tc>
        <w:tc>
          <w:tcPr>
            <w:tcW w:w="4916" w:type="dxa"/>
          </w:tcPr>
          <w:p w14:paraId="7AC75A1B"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L1 – vedoucí týmu právního poradenství pro PPP</w:t>
            </w:r>
            <w:r w:rsidRPr="008C39D7">
              <w:rPr>
                <w:rFonts w:eastAsia="Calibri" w:cs="Times New Roman"/>
                <w:bCs/>
                <w:szCs w:val="18"/>
              </w:rPr>
              <w:t xml:space="preserve"> (1 osoba)</w:t>
            </w:r>
          </w:p>
          <w:p w14:paraId="4CD8A7C2"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11D19754" w14:textId="77777777" w:rsidR="0077391E" w:rsidRPr="003F361B" w:rsidRDefault="0077391E" w:rsidP="00C93D25">
            <w:pPr>
              <w:pStyle w:val="Odstavecseseznamem"/>
              <w:numPr>
                <w:ilvl w:val="0"/>
                <w:numId w:val="20"/>
              </w:numPr>
              <w:spacing w:before="0" w:after="0" w:line="240" w:lineRule="auto"/>
              <w:jc w:val="both"/>
              <w:rPr>
                <w:rFonts w:eastAsia="Times New Roman"/>
              </w:rPr>
            </w:pPr>
            <w:r w:rsidRPr="003F361B">
              <w:t>minimálně bakalářské vysokoškolské vzdělání právního směru;</w:t>
            </w:r>
          </w:p>
          <w:p w14:paraId="30A73447" w14:textId="77777777" w:rsidR="0077391E" w:rsidRPr="003F361B" w:rsidRDefault="0077391E" w:rsidP="00C93D25">
            <w:pPr>
              <w:pStyle w:val="Odstavecseseznamem"/>
              <w:numPr>
                <w:ilvl w:val="0"/>
                <w:numId w:val="20"/>
              </w:numPr>
              <w:spacing w:before="0" w:after="0" w:line="240" w:lineRule="auto"/>
              <w:jc w:val="both"/>
              <w:rPr>
                <w:rFonts w:eastAsia="Calibri"/>
              </w:rPr>
            </w:pPr>
            <w:r w:rsidRPr="003F361B">
              <w:t xml:space="preserve">nejméně </w:t>
            </w:r>
            <w:r w:rsidRPr="003F361B">
              <w:rPr>
                <w:b/>
                <w:bCs/>
              </w:rPr>
              <w:t xml:space="preserve">10 let </w:t>
            </w:r>
            <w:r w:rsidRPr="003F361B">
              <w:t xml:space="preserve">profesní praxe v oblasti právního poradenství, z čehož minimálně </w:t>
            </w:r>
            <w:r w:rsidRPr="003F361B">
              <w:rPr>
                <w:b/>
                <w:bCs/>
              </w:rPr>
              <w:t>5 let</w:t>
            </w:r>
            <w:r w:rsidRPr="003F361B">
              <w:t xml:space="preserve"> profesní praxe v oblasti poskytování právního poradenství v oblasti PPP projektů;</w:t>
            </w:r>
          </w:p>
          <w:p w14:paraId="198D5B91" w14:textId="77777777" w:rsidR="0077391E" w:rsidRPr="003F361B" w:rsidRDefault="0077391E" w:rsidP="00C93D25">
            <w:pPr>
              <w:pStyle w:val="Odstavecseseznamem"/>
              <w:numPr>
                <w:ilvl w:val="0"/>
                <w:numId w:val="20"/>
              </w:numPr>
              <w:spacing w:before="0" w:after="0" w:line="240" w:lineRule="auto"/>
              <w:jc w:val="both"/>
              <w:rPr>
                <w:rFonts w:eastAsia="Calibri"/>
              </w:rPr>
            </w:pPr>
            <w:r w:rsidRPr="003F361B">
              <w:rPr>
                <w:rFonts w:eastAsia="Calibri"/>
              </w:rPr>
              <w:t xml:space="preserve">Alespoň </w:t>
            </w:r>
            <w:r w:rsidRPr="003F361B">
              <w:rPr>
                <w:rFonts w:eastAsia="Calibri"/>
                <w:b/>
                <w:bCs/>
              </w:rPr>
              <w:t>dva PPP projekty</w:t>
            </w:r>
            <w:r w:rsidRPr="003F361B">
              <w:rPr>
                <w:rFonts w:eastAsia="Calibri"/>
              </w:rPr>
              <w:t xml:space="preserve">, k nimž bylo právní poradenství touto osobou poskytováno, s celkovými investičními náklady (CAPEX) každého projektu ve výši minimálně </w:t>
            </w:r>
            <w:r w:rsidRPr="003F361B">
              <w:rPr>
                <w:rFonts w:eastAsia="Calibri"/>
                <w:b/>
                <w:bCs/>
              </w:rPr>
              <w:t>5 mld. Kč bez DPH</w:t>
            </w:r>
            <w:r w:rsidRPr="003F361B">
              <w:rPr>
                <w:rFonts w:eastAsia="Calibri"/>
              </w:rPr>
              <w:t xml:space="preserve">, které úspěšně dosáhly Finančního uzavření a u nichž tato osoba vykonávala funkci klíčového specialisty týmu poskytujícího právní poradenství </w:t>
            </w:r>
            <w:r w:rsidRPr="003F361B">
              <w:rPr>
                <w:rFonts w:eastAsia="Calibri"/>
                <w:b/>
                <w:bCs/>
              </w:rPr>
              <w:t>po celou dobu trvání projektu</w:t>
            </w:r>
            <w:r w:rsidRPr="003F361B">
              <w:rPr>
                <w:rFonts w:eastAsia="Calibri"/>
              </w:rPr>
              <w:t>, počítaje ode dne zahájení zadávacího řízení na danou veřejnou zakázku;</w:t>
            </w:r>
          </w:p>
          <w:p w14:paraId="719967F5" w14:textId="5EFE7FFF" w:rsidR="008C39D7" w:rsidRPr="008C39D7" w:rsidRDefault="0077391E" w:rsidP="00C93D25">
            <w:pPr>
              <w:widowControl w:val="0"/>
              <w:numPr>
                <w:ilvl w:val="0"/>
                <w:numId w:val="20"/>
              </w:numPr>
              <w:spacing w:before="0" w:after="0" w:line="240" w:lineRule="auto"/>
              <w:jc w:val="both"/>
              <w:rPr>
                <w:rFonts w:eastAsia="Calibri" w:cs="Times New Roman"/>
                <w:szCs w:val="18"/>
              </w:rPr>
            </w:pPr>
            <w:r w:rsidRPr="003F361B">
              <w:rPr>
                <w:rFonts w:eastAsia="Calibri"/>
              </w:rPr>
              <w:t>Schopnost odborné komunikace v anglickém jazyce, přičemž zadavatel umožňuje splnění této zadávací podmínky také stálou účastí tlumočníka, a to na náklady dodavatele.</w:t>
            </w:r>
          </w:p>
        </w:tc>
        <w:tc>
          <w:tcPr>
            <w:tcW w:w="2313" w:type="dxa"/>
          </w:tcPr>
          <w:p w14:paraId="2536214F" w14:textId="1480CA80" w:rsidR="008C39D7" w:rsidRPr="008C39D7" w:rsidRDefault="008C39D7" w:rsidP="008C39D7">
            <w:pPr>
              <w:ind w:left="0"/>
              <w:rPr>
                <w:rFonts w:eastAsia="Calibri" w:cs="Times New Roman"/>
                <w:szCs w:val="18"/>
              </w:rPr>
            </w:pPr>
            <w:r w:rsidRPr="008C39D7">
              <w:rPr>
                <w:rFonts w:eastAsia="Calibri" w:cs="Times New Roman"/>
                <w:b/>
                <w:bCs/>
                <w:szCs w:val="18"/>
              </w:rPr>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p>
          <w:p w14:paraId="28A89E8E"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p w14:paraId="67D772AB" w14:textId="77777777" w:rsidR="008C39D7" w:rsidRPr="008C39D7" w:rsidRDefault="008C39D7" w:rsidP="008C39D7">
            <w:pPr>
              <w:ind w:left="0"/>
              <w:rPr>
                <w:rFonts w:eastAsia="Calibri" w:cs="Times New Roman"/>
                <w:szCs w:val="18"/>
              </w:rPr>
            </w:pPr>
          </w:p>
        </w:tc>
      </w:tr>
      <w:tr w:rsidR="008C39D7" w:rsidRPr="008C39D7" w14:paraId="278FD76E" w14:textId="77777777" w:rsidTr="00646BC3">
        <w:trPr>
          <w:trHeight w:val="340"/>
        </w:trPr>
        <w:tc>
          <w:tcPr>
            <w:tcW w:w="284" w:type="dxa"/>
            <w:shd w:val="clear" w:color="auto" w:fill="F2F2F2" w:themeFill="background1" w:themeFillShade="F2"/>
            <w:vAlign w:val="center"/>
          </w:tcPr>
          <w:p w14:paraId="562BC6BE"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b)</w:t>
            </w:r>
          </w:p>
        </w:tc>
        <w:tc>
          <w:tcPr>
            <w:tcW w:w="4916" w:type="dxa"/>
            <w:shd w:val="clear" w:color="auto" w:fill="F2F2F2" w:themeFill="background1" w:themeFillShade="F2"/>
          </w:tcPr>
          <w:p w14:paraId="68744090"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L2 – právní poradce v oblasti PPP</w:t>
            </w:r>
            <w:r w:rsidRPr="008C39D7">
              <w:rPr>
                <w:rFonts w:eastAsia="Calibri" w:cs="Times New Roman"/>
                <w:bCs/>
                <w:szCs w:val="18"/>
              </w:rPr>
              <w:t xml:space="preserve"> (1 osoba)</w:t>
            </w:r>
          </w:p>
          <w:p w14:paraId="4EDDB079"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3B0C1BCE" w14:textId="77777777" w:rsidR="006B0447" w:rsidRPr="003F361B" w:rsidRDefault="006B0447" w:rsidP="00C93D25">
            <w:pPr>
              <w:pStyle w:val="Odstavecseseznamem"/>
              <w:numPr>
                <w:ilvl w:val="0"/>
                <w:numId w:val="21"/>
              </w:numPr>
              <w:spacing w:before="0" w:after="0" w:line="240" w:lineRule="auto"/>
              <w:ind w:left="329"/>
              <w:jc w:val="both"/>
              <w:rPr>
                <w:rFonts w:eastAsia="Times New Roman"/>
              </w:rPr>
            </w:pPr>
            <w:r w:rsidRPr="003F361B">
              <w:t>minimálně bakalářské vysokoškolské vzdělání právního směru;</w:t>
            </w:r>
          </w:p>
          <w:p w14:paraId="5A93904A" w14:textId="5D88E8FF" w:rsidR="006B0447" w:rsidRPr="003F361B" w:rsidRDefault="006B0447" w:rsidP="00C93D25">
            <w:pPr>
              <w:pStyle w:val="Odstavecseseznamem"/>
              <w:numPr>
                <w:ilvl w:val="0"/>
                <w:numId w:val="21"/>
              </w:numPr>
              <w:spacing w:before="0" w:after="0" w:line="240" w:lineRule="auto"/>
              <w:ind w:left="329"/>
              <w:jc w:val="both"/>
              <w:rPr>
                <w:rFonts w:eastAsia="Calibri"/>
              </w:rPr>
            </w:pPr>
            <w:r w:rsidRPr="003F361B">
              <w:t xml:space="preserve">nejméně </w:t>
            </w:r>
            <w:r w:rsidRPr="003F361B">
              <w:rPr>
                <w:b/>
                <w:bCs/>
              </w:rPr>
              <w:t xml:space="preserve">8 let </w:t>
            </w:r>
            <w:r w:rsidRPr="003F361B">
              <w:t xml:space="preserve">profesní praxe v oblasti právního poradenství, z čehož minimálně </w:t>
            </w:r>
            <w:r w:rsidRPr="003F361B">
              <w:rPr>
                <w:b/>
                <w:bCs/>
              </w:rPr>
              <w:t xml:space="preserve">4 </w:t>
            </w:r>
            <w:r w:rsidR="00A85F33">
              <w:rPr>
                <w:b/>
                <w:bCs/>
              </w:rPr>
              <w:t>roky</w:t>
            </w:r>
            <w:r w:rsidRPr="003F361B">
              <w:t xml:space="preserve"> profesní praxe v oblasti poskytování právního poradenství v oblasti PPP projektů;</w:t>
            </w:r>
          </w:p>
          <w:p w14:paraId="6A135AA5" w14:textId="249DE2F9" w:rsidR="006B0447" w:rsidRPr="003F361B" w:rsidRDefault="006B0447" w:rsidP="00C93D25">
            <w:pPr>
              <w:pStyle w:val="Odstavecseseznamem"/>
              <w:numPr>
                <w:ilvl w:val="0"/>
                <w:numId w:val="21"/>
              </w:numPr>
              <w:spacing w:before="0" w:after="0" w:line="240" w:lineRule="auto"/>
              <w:ind w:left="329"/>
              <w:jc w:val="both"/>
              <w:rPr>
                <w:rFonts w:eastAsia="Calibri"/>
              </w:rPr>
            </w:pPr>
            <w:r w:rsidRPr="003F361B">
              <w:rPr>
                <w:rFonts w:eastAsia="Calibri"/>
              </w:rPr>
              <w:t xml:space="preserve">Alespoň </w:t>
            </w:r>
            <w:r w:rsidRPr="003F361B">
              <w:rPr>
                <w:rFonts w:eastAsia="Calibri"/>
                <w:b/>
                <w:bCs/>
              </w:rPr>
              <w:t>jeden PPP projekt</w:t>
            </w:r>
            <w:r w:rsidRPr="003F361B">
              <w:rPr>
                <w:rFonts w:eastAsia="Calibri"/>
              </w:rPr>
              <w:t xml:space="preserve">, k němuž bylo právní poradenství touto osobou poskytováno, s celkovými investičními náklady (CAPEX) ve výši minimálně </w:t>
            </w:r>
            <w:r w:rsidRPr="003F361B">
              <w:rPr>
                <w:rFonts w:eastAsia="Calibri"/>
                <w:b/>
                <w:bCs/>
              </w:rPr>
              <w:t>5 mld. Kč bez DPH</w:t>
            </w:r>
            <w:r w:rsidRPr="003F361B">
              <w:rPr>
                <w:rFonts w:eastAsia="Calibri"/>
              </w:rPr>
              <w:t xml:space="preserve">, který úspěšně dosáhl Finančního uzavření a u nichž tato osoba vykonávala funkci klíčového specialisty týmu </w:t>
            </w:r>
            <w:r w:rsidRPr="003F361B">
              <w:rPr>
                <w:rFonts w:eastAsia="Calibri"/>
              </w:rPr>
              <w:lastRenderedPageBreak/>
              <w:t xml:space="preserve">poskytujícího právní poradenství </w:t>
            </w:r>
            <w:r w:rsidRPr="003F361B">
              <w:rPr>
                <w:rFonts w:eastAsia="Calibri"/>
                <w:b/>
                <w:bCs/>
              </w:rPr>
              <w:t>po celou dobu trvání projektu</w:t>
            </w:r>
            <w:r w:rsidRPr="003F361B">
              <w:rPr>
                <w:rFonts w:eastAsia="Calibri"/>
              </w:rPr>
              <w:t>, počítaje ode dne zahájení zadávacího řízení na danou veřejnou zakázku;</w:t>
            </w:r>
          </w:p>
          <w:p w14:paraId="023B420E" w14:textId="03895E23" w:rsidR="008C39D7" w:rsidRPr="008C39D7" w:rsidRDefault="006B0447" w:rsidP="00C93D25">
            <w:pPr>
              <w:widowControl w:val="0"/>
              <w:numPr>
                <w:ilvl w:val="0"/>
                <w:numId w:val="21"/>
              </w:numPr>
              <w:spacing w:before="0" w:after="0" w:line="240" w:lineRule="auto"/>
              <w:ind w:left="329"/>
              <w:jc w:val="both"/>
              <w:rPr>
                <w:rFonts w:eastAsia="Times New Roman" w:cs="Times New Roman"/>
                <w:szCs w:val="18"/>
                <w:lang w:eastAsia="cs-CZ"/>
              </w:rPr>
            </w:pPr>
            <w:r w:rsidRPr="003F361B">
              <w:rPr>
                <w:rFonts w:eastAsia="Calibri"/>
              </w:rPr>
              <w:t>Schopnost odborné komunikace v anglickém jazyce, přičemž zadavatel umožňuje splnění této zadávací podmínky také stálou účastí tlumočníka, a to na náklady dodavatele.</w:t>
            </w:r>
          </w:p>
        </w:tc>
        <w:tc>
          <w:tcPr>
            <w:tcW w:w="2313" w:type="dxa"/>
            <w:shd w:val="clear" w:color="auto" w:fill="F2F2F2" w:themeFill="background1" w:themeFillShade="F2"/>
          </w:tcPr>
          <w:p w14:paraId="3661CD15" w14:textId="27AC4212" w:rsidR="008C39D7" w:rsidRPr="008C39D7" w:rsidRDefault="008C39D7" w:rsidP="008C39D7">
            <w:pPr>
              <w:ind w:left="0"/>
              <w:rPr>
                <w:rFonts w:eastAsia="Calibri" w:cs="Times New Roman"/>
                <w:szCs w:val="18"/>
              </w:rPr>
            </w:pPr>
            <w:r w:rsidRPr="008C39D7">
              <w:rPr>
                <w:rFonts w:eastAsia="Calibri" w:cs="Times New Roman"/>
                <w:b/>
                <w:bCs/>
                <w:szCs w:val="18"/>
              </w:rPr>
              <w:lastRenderedPageBreak/>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p>
          <w:p w14:paraId="610568BC"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7DF1386A" w14:textId="77777777" w:rsidTr="00646BC3">
        <w:trPr>
          <w:trHeight w:val="340"/>
        </w:trPr>
        <w:tc>
          <w:tcPr>
            <w:tcW w:w="284" w:type="dxa"/>
            <w:vAlign w:val="center"/>
          </w:tcPr>
          <w:p w14:paraId="54485659"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c)</w:t>
            </w:r>
          </w:p>
        </w:tc>
        <w:tc>
          <w:tcPr>
            <w:tcW w:w="4916" w:type="dxa"/>
          </w:tcPr>
          <w:p w14:paraId="762587CB"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L3 – právní poradce se specializací na české právo</w:t>
            </w:r>
            <w:r w:rsidRPr="008C39D7">
              <w:rPr>
                <w:rFonts w:eastAsia="Calibri" w:cs="Times New Roman"/>
                <w:bCs/>
                <w:szCs w:val="18"/>
              </w:rPr>
              <w:t xml:space="preserve"> (1 osoba)</w:t>
            </w:r>
          </w:p>
          <w:p w14:paraId="18D7736E"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6C0138DA" w14:textId="77777777" w:rsidR="00DE08B2" w:rsidRPr="003F361B" w:rsidRDefault="00DE08B2" w:rsidP="00C93D25">
            <w:pPr>
              <w:pStyle w:val="Odstavecseseznamem"/>
              <w:numPr>
                <w:ilvl w:val="0"/>
                <w:numId w:val="20"/>
              </w:numPr>
              <w:spacing w:before="0" w:after="0" w:line="240" w:lineRule="auto"/>
              <w:jc w:val="both"/>
              <w:rPr>
                <w:rFonts w:eastAsia="Times New Roman"/>
              </w:rPr>
            </w:pPr>
            <w:r w:rsidRPr="003F361B">
              <w:t>minimálně magisterské vysokoškolské vzdělání právního směru;</w:t>
            </w:r>
          </w:p>
          <w:p w14:paraId="05EEF8B0" w14:textId="77777777" w:rsidR="00DE08B2" w:rsidRPr="003F361B" w:rsidRDefault="00DE08B2" w:rsidP="00C93D25">
            <w:pPr>
              <w:pStyle w:val="Odstavecseseznamem"/>
              <w:numPr>
                <w:ilvl w:val="0"/>
                <w:numId w:val="20"/>
              </w:numPr>
              <w:spacing w:before="0" w:after="0" w:line="240" w:lineRule="auto"/>
              <w:jc w:val="both"/>
              <w:rPr>
                <w:rFonts w:eastAsia="Calibri"/>
              </w:rPr>
            </w:pPr>
            <w:r w:rsidRPr="003F361B">
              <w:t xml:space="preserve">nejméně </w:t>
            </w:r>
            <w:r w:rsidRPr="003F361B">
              <w:rPr>
                <w:b/>
                <w:bCs/>
              </w:rPr>
              <w:t xml:space="preserve">8 let </w:t>
            </w:r>
            <w:r w:rsidRPr="003F361B">
              <w:t xml:space="preserve">profesní praxe v oblasti právního poradenství v právním prostředí ČR, z čehož minimálně </w:t>
            </w:r>
            <w:r w:rsidRPr="003F361B">
              <w:rPr>
                <w:b/>
                <w:bCs/>
              </w:rPr>
              <w:t>4 roky</w:t>
            </w:r>
            <w:r w:rsidRPr="003F361B">
              <w:t xml:space="preserve"> v oblasti smluvních vztahů ve výstavbě;</w:t>
            </w:r>
          </w:p>
          <w:p w14:paraId="3BC72439" w14:textId="0AFD89A8" w:rsidR="00DE08B2" w:rsidRPr="003F361B" w:rsidRDefault="00DE08B2" w:rsidP="00C93D25">
            <w:pPr>
              <w:pStyle w:val="Odstavecseseznamem"/>
              <w:numPr>
                <w:ilvl w:val="0"/>
                <w:numId w:val="20"/>
              </w:numPr>
              <w:spacing w:before="0" w:after="0" w:line="240" w:lineRule="auto"/>
              <w:jc w:val="both"/>
              <w:rPr>
                <w:rFonts w:eastAsia="Calibri"/>
              </w:rPr>
            </w:pPr>
            <w:r w:rsidRPr="003F361B">
              <w:t xml:space="preserve">nejméně </w:t>
            </w:r>
            <w:r w:rsidRPr="003F361B">
              <w:rPr>
                <w:b/>
              </w:rPr>
              <w:t>2 roky</w:t>
            </w:r>
            <w:r w:rsidRPr="003F361B">
              <w:t xml:space="preserve"> profesní praxe s poskytováním právního poradenství souvisejícího s realizací PPP projektu přičemž je dostačující, pokud poradenství bylo poskytováno v rámci projektu, který měl/má být formou PPP realizován, tj. poradenství bylo poskytováno v rámci ověřování či přípravy takového projektu, aniž by bylo rozhodné, zda tento projekt dosáhl Smluvního či Finančního uzavření, tj. zda projekt byl nebo nebyl realizován, přičemž požadováno je, aby se jednalo o poradenství, na základě jehož výsledku bylo rozhodnuto alespoň o zahájení realizace zadávacího řízení na soukromého partnera</w:t>
            </w:r>
            <w:r w:rsidR="008536F0">
              <w:t>,</w:t>
            </w:r>
            <w:r w:rsidRPr="003F361B">
              <w:t xml:space="preserve"> či o poradenství v rámci samotného zadávacího řízení na soukromého partnera</w:t>
            </w:r>
            <w:r w:rsidR="008536F0">
              <w:t>;</w:t>
            </w:r>
          </w:p>
          <w:p w14:paraId="0170A5BF" w14:textId="27A26323" w:rsidR="008C39D7" w:rsidRPr="008C39D7" w:rsidRDefault="00DE08B2" w:rsidP="00C93D25">
            <w:pPr>
              <w:widowControl w:val="0"/>
              <w:numPr>
                <w:ilvl w:val="0"/>
                <w:numId w:val="20"/>
              </w:numPr>
              <w:spacing w:before="0" w:after="0" w:line="240" w:lineRule="auto"/>
              <w:jc w:val="both"/>
              <w:rPr>
                <w:rFonts w:eastAsia="Calibri" w:cs="Times New Roman"/>
                <w:szCs w:val="18"/>
              </w:rPr>
            </w:pPr>
            <w:r w:rsidRPr="003F361B">
              <w:rPr>
                <w:rFonts w:eastAsia="Calibri"/>
              </w:rPr>
              <w:t xml:space="preserve">Schopnost odborné komunikace v českém (nebo slovenském) jazyce a </w:t>
            </w:r>
            <w:r w:rsidR="006D74BB">
              <w:rPr>
                <w:rFonts w:eastAsia="Calibri"/>
              </w:rPr>
              <w:t xml:space="preserve">v </w:t>
            </w:r>
            <w:r w:rsidRPr="003F361B">
              <w:rPr>
                <w:rFonts w:eastAsia="Calibri"/>
              </w:rPr>
              <w:t>anglickém jazyce, přičemž zadavatel umožňuje splnění této zadávací podmínky také stálou účastí tlumočníka, a to na náklady dodavatele.</w:t>
            </w:r>
          </w:p>
        </w:tc>
        <w:tc>
          <w:tcPr>
            <w:tcW w:w="2313" w:type="dxa"/>
          </w:tcPr>
          <w:p w14:paraId="59933F5E" w14:textId="72AFBF75" w:rsidR="008C39D7" w:rsidRPr="008C39D7" w:rsidRDefault="008C39D7" w:rsidP="008C39D7">
            <w:pPr>
              <w:ind w:left="0"/>
              <w:rPr>
                <w:rFonts w:eastAsia="Calibri" w:cs="Times New Roman"/>
                <w:szCs w:val="18"/>
              </w:rPr>
            </w:pPr>
            <w:r w:rsidRPr="008C39D7">
              <w:rPr>
                <w:rFonts w:eastAsia="Calibri" w:cs="Times New Roman"/>
                <w:b/>
                <w:bCs/>
                <w:szCs w:val="18"/>
              </w:rPr>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p>
          <w:p w14:paraId="00F2CEB9" w14:textId="77777777" w:rsidR="008C39D7" w:rsidRPr="008C39D7" w:rsidRDefault="008C39D7" w:rsidP="008C39D7">
            <w:pPr>
              <w:ind w:left="0"/>
              <w:rPr>
                <w:rFonts w:eastAsia="Times New Roman" w:cs="Times New Roman"/>
                <w:iCs/>
                <w:szCs w:val="18"/>
                <w:lang w:eastAsia="cs-CZ"/>
              </w:rPr>
            </w:pPr>
            <w:r w:rsidRPr="008C39D7">
              <w:rPr>
                <w:rFonts w:eastAsia="Calibri" w:cs="Times New Roman"/>
                <w:b/>
                <w:bCs/>
                <w:szCs w:val="18"/>
              </w:rPr>
              <w:t>Doklad o nejvýše dosaženém vzdělání</w:t>
            </w:r>
          </w:p>
        </w:tc>
      </w:tr>
      <w:tr w:rsidR="008C39D7" w:rsidRPr="008C39D7" w14:paraId="73B9C2BE" w14:textId="77777777" w:rsidTr="00646BC3">
        <w:trPr>
          <w:trHeight w:val="340"/>
        </w:trPr>
        <w:tc>
          <w:tcPr>
            <w:tcW w:w="284" w:type="dxa"/>
            <w:shd w:val="clear" w:color="auto" w:fill="F2F2F2" w:themeFill="background1" w:themeFillShade="F2"/>
            <w:vAlign w:val="center"/>
          </w:tcPr>
          <w:p w14:paraId="2A0E36F7"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d)</w:t>
            </w:r>
          </w:p>
        </w:tc>
        <w:tc>
          <w:tcPr>
            <w:tcW w:w="4916" w:type="dxa"/>
            <w:shd w:val="clear" w:color="auto" w:fill="F2F2F2" w:themeFill="background1" w:themeFillShade="F2"/>
            <w:vAlign w:val="center"/>
          </w:tcPr>
          <w:p w14:paraId="7E5F7BDE" w14:textId="027F25B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L4 – právní poradce se specializací na české právo</w:t>
            </w:r>
            <w:r w:rsidR="00EF7BA8">
              <w:rPr>
                <w:rFonts w:eastAsia="Calibri" w:cs="Times New Roman"/>
                <w:b/>
                <w:szCs w:val="18"/>
                <w:u w:val="single"/>
              </w:rPr>
              <w:t xml:space="preserve"> </w:t>
            </w:r>
            <w:r w:rsidRPr="008C39D7">
              <w:rPr>
                <w:rFonts w:eastAsia="Calibri" w:cs="Times New Roman"/>
                <w:bCs/>
                <w:szCs w:val="18"/>
              </w:rPr>
              <w:t>(1 osoba)</w:t>
            </w:r>
          </w:p>
          <w:p w14:paraId="301FE132"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21382578" w14:textId="77777777" w:rsidR="00DE08B2" w:rsidRPr="003F361B" w:rsidRDefault="00DE08B2" w:rsidP="00C93D25">
            <w:pPr>
              <w:pStyle w:val="Odstavecseseznamem"/>
              <w:numPr>
                <w:ilvl w:val="0"/>
                <w:numId w:val="20"/>
              </w:numPr>
              <w:spacing w:before="0" w:after="0" w:line="240" w:lineRule="auto"/>
              <w:jc w:val="both"/>
              <w:rPr>
                <w:rFonts w:eastAsia="Times New Roman"/>
              </w:rPr>
            </w:pPr>
            <w:r w:rsidRPr="003F361B">
              <w:t>minimálně magisterské vysokoškolské vzdělání právního směru;</w:t>
            </w:r>
          </w:p>
          <w:p w14:paraId="02023175" w14:textId="77777777" w:rsidR="00DE08B2" w:rsidRPr="003F361B" w:rsidRDefault="00DE08B2" w:rsidP="00C93D25">
            <w:pPr>
              <w:pStyle w:val="Odstavecseseznamem"/>
              <w:numPr>
                <w:ilvl w:val="0"/>
                <w:numId w:val="20"/>
              </w:numPr>
              <w:spacing w:before="0" w:after="0" w:line="240" w:lineRule="auto"/>
              <w:jc w:val="both"/>
            </w:pPr>
            <w:r w:rsidRPr="003F361B">
              <w:t xml:space="preserve">nejméně </w:t>
            </w:r>
            <w:r w:rsidRPr="003F361B">
              <w:rPr>
                <w:b/>
                <w:bCs/>
              </w:rPr>
              <w:t>8 let</w:t>
            </w:r>
            <w:r w:rsidRPr="003F361B">
              <w:t xml:space="preserve"> profesní praxe v oblasti právního poradenství v právním prostředí ČR, z čehož minimálně </w:t>
            </w:r>
            <w:r w:rsidRPr="003F361B">
              <w:rPr>
                <w:b/>
                <w:bCs/>
              </w:rPr>
              <w:t>4 roky</w:t>
            </w:r>
            <w:r w:rsidRPr="003F361B">
              <w:t xml:space="preserve"> v oblasti smluvních vztahů ve výstavbě;</w:t>
            </w:r>
          </w:p>
          <w:p w14:paraId="29300636" w14:textId="60716DA7" w:rsidR="00DE08B2" w:rsidRPr="003F361B" w:rsidRDefault="00DE08B2" w:rsidP="00C93D25">
            <w:pPr>
              <w:pStyle w:val="Odstavecseseznamem"/>
              <w:numPr>
                <w:ilvl w:val="0"/>
                <w:numId w:val="20"/>
              </w:numPr>
              <w:spacing w:before="0" w:after="0" w:line="240" w:lineRule="auto"/>
              <w:jc w:val="both"/>
              <w:rPr>
                <w:rFonts w:eastAsia="Calibri"/>
              </w:rPr>
            </w:pPr>
            <w:r w:rsidRPr="003F361B">
              <w:t xml:space="preserve">nejméně </w:t>
            </w:r>
            <w:r w:rsidRPr="003F361B">
              <w:rPr>
                <w:b/>
              </w:rPr>
              <w:t>2 roky</w:t>
            </w:r>
            <w:r w:rsidRPr="003F361B">
              <w:t xml:space="preserve"> profesní praxe s poskytováním právního poradenství souvisejícího s realizací PPP projektu přičemž je dostačující, pokud poradenství bylo poskytováno v rámci projektu, který měl/má být formou PPP realizován, tj. </w:t>
            </w:r>
            <w:r w:rsidRPr="003F361B">
              <w:lastRenderedPageBreak/>
              <w:t>poradenství bylo poskytováno v rámci ověřování či přípravy takového projektu, aniž by bylo rozhodné, zda tento projekt dosáhl Smluvního či Finančního uzavření, tj. zda projekt byl nebo nebyl realizován, přičemž požadováno je, aby se jednalo o poradenství, na základě jehož výsledku bylo rozhodnuto alespoň o zahájení realizace zadávacího řízení na soukromého partnera či o poradenství v rámci samotného zadávacího řízení na soukromého partnera</w:t>
            </w:r>
            <w:r w:rsidR="00E71933">
              <w:t>;</w:t>
            </w:r>
          </w:p>
          <w:p w14:paraId="31EE3F34" w14:textId="3237FBEB" w:rsidR="008C39D7" w:rsidRPr="008C39D7" w:rsidRDefault="00DE08B2" w:rsidP="00C93D25">
            <w:pPr>
              <w:widowControl w:val="0"/>
              <w:numPr>
                <w:ilvl w:val="0"/>
                <w:numId w:val="20"/>
              </w:numPr>
              <w:spacing w:before="0" w:after="0" w:line="240" w:lineRule="auto"/>
              <w:jc w:val="both"/>
              <w:rPr>
                <w:rFonts w:eastAsia="Calibri" w:cs="Times New Roman"/>
                <w:szCs w:val="18"/>
              </w:rPr>
            </w:pPr>
            <w:r w:rsidRPr="003F361B">
              <w:t xml:space="preserve">Schopnost odborné komunikace v českém (nebo slovenském) jazyce a </w:t>
            </w:r>
            <w:r w:rsidR="00B97989">
              <w:t xml:space="preserve">v </w:t>
            </w:r>
            <w:r w:rsidRPr="003F361B">
              <w:t>anglickém jazyce, přičemž zadavatel umožňuje splnění této zadávací podmínky také stálou účastí tlumočníka, a to na náklady dodavatele.</w:t>
            </w:r>
          </w:p>
        </w:tc>
        <w:tc>
          <w:tcPr>
            <w:tcW w:w="2313" w:type="dxa"/>
            <w:shd w:val="clear" w:color="auto" w:fill="F2F2F2" w:themeFill="background1" w:themeFillShade="F2"/>
          </w:tcPr>
          <w:p w14:paraId="1BFB68DD" w14:textId="0A823669" w:rsidR="008C39D7" w:rsidRPr="008C39D7" w:rsidRDefault="008C39D7" w:rsidP="008C39D7">
            <w:pPr>
              <w:ind w:left="0"/>
              <w:rPr>
                <w:rFonts w:eastAsia="Calibri" w:cs="Times New Roman"/>
                <w:szCs w:val="18"/>
              </w:rPr>
            </w:pPr>
            <w:r w:rsidRPr="008C39D7">
              <w:rPr>
                <w:rFonts w:eastAsia="Calibri" w:cs="Times New Roman"/>
                <w:b/>
                <w:bCs/>
                <w:szCs w:val="18"/>
              </w:rPr>
              <w:lastRenderedPageBreak/>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p>
          <w:p w14:paraId="16F297E4" w14:textId="77777777" w:rsidR="008C39D7" w:rsidRPr="008C39D7" w:rsidRDefault="008C39D7" w:rsidP="008C39D7">
            <w:pPr>
              <w:ind w:left="0"/>
              <w:rPr>
                <w:rFonts w:eastAsia="Times New Roman" w:cs="Times New Roman"/>
                <w:iCs/>
                <w:szCs w:val="18"/>
                <w:lang w:eastAsia="cs-CZ"/>
              </w:rPr>
            </w:pPr>
            <w:r w:rsidRPr="008C39D7">
              <w:rPr>
                <w:rFonts w:eastAsia="Calibri" w:cs="Times New Roman"/>
                <w:b/>
                <w:bCs/>
                <w:szCs w:val="18"/>
              </w:rPr>
              <w:t>Doklad o nejvýše dosaženém vzdělání</w:t>
            </w:r>
          </w:p>
        </w:tc>
      </w:tr>
      <w:tr w:rsidR="008C39D7" w:rsidRPr="008C39D7" w14:paraId="324B249B" w14:textId="77777777" w:rsidTr="00646BC3">
        <w:trPr>
          <w:trHeight w:val="340"/>
        </w:trPr>
        <w:tc>
          <w:tcPr>
            <w:tcW w:w="284" w:type="dxa"/>
            <w:vAlign w:val="center"/>
          </w:tcPr>
          <w:p w14:paraId="3870E6B7"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e)</w:t>
            </w:r>
          </w:p>
        </w:tc>
        <w:tc>
          <w:tcPr>
            <w:tcW w:w="4916" w:type="dxa"/>
            <w:vAlign w:val="center"/>
          </w:tcPr>
          <w:p w14:paraId="5E4FBF57"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F1 – vedoucí týmu finančního a ekonomického poradenství pro PPP</w:t>
            </w:r>
            <w:r w:rsidRPr="008C39D7">
              <w:rPr>
                <w:rFonts w:eastAsia="Calibri" w:cs="Times New Roman"/>
                <w:bCs/>
                <w:szCs w:val="18"/>
              </w:rPr>
              <w:t xml:space="preserve"> (1 osoba)</w:t>
            </w:r>
          </w:p>
          <w:p w14:paraId="346C43AC"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3F4DE8EB" w14:textId="41D63FBE" w:rsidR="00DE08B2" w:rsidRPr="003F361B" w:rsidRDefault="00DE08B2" w:rsidP="00C93D25">
            <w:pPr>
              <w:pStyle w:val="Odstavecseseznamem"/>
              <w:numPr>
                <w:ilvl w:val="0"/>
                <w:numId w:val="20"/>
              </w:numPr>
              <w:spacing w:before="0" w:after="0" w:line="240" w:lineRule="auto"/>
              <w:jc w:val="both"/>
              <w:rPr>
                <w:rFonts w:eastAsia="Times New Roman"/>
              </w:rPr>
            </w:pPr>
            <w:r w:rsidRPr="003F361B">
              <w:t>minimálně bakalářské vysokoškolské vzdělání</w:t>
            </w:r>
            <w:r w:rsidR="00326EC6">
              <w:t xml:space="preserve"> </w:t>
            </w:r>
            <w:r w:rsidR="00326EC6" w:rsidRPr="00326EC6">
              <w:t>ekonomického</w:t>
            </w:r>
            <w:r w:rsidR="00326EC6">
              <w:t xml:space="preserve"> či </w:t>
            </w:r>
            <w:r w:rsidR="00326EC6" w:rsidRPr="00326EC6">
              <w:t>finančního</w:t>
            </w:r>
            <w:r w:rsidR="00326EC6">
              <w:t xml:space="preserve"> či</w:t>
            </w:r>
            <w:r w:rsidR="00326EC6" w:rsidRPr="00326EC6">
              <w:t xml:space="preserve"> matematického </w:t>
            </w:r>
            <w:r w:rsidR="00326EC6">
              <w:t>či</w:t>
            </w:r>
            <w:r w:rsidR="00326EC6" w:rsidRPr="00326EC6">
              <w:t xml:space="preserve"> právního</w:t>
            </w:r>
            <w:r w:rsidR="00326EC6">
              <w:t xml:space="preserve"> směru</w:t>
            </w:r>
            <w:r w:rsidRPr="003F361B">
              <w:t>;</w:t>
            </w:r>
          </w:p>
          <w:p w14:paraId="2AED674C" w14:textId="77777777" w:rsidR="00DE08B2" w:rsidRPr="003F361B" w:rsidRDefault="00DE08B2" w:rsidP="00C93D25">
            <w:pPr>
              <w:pStyle w:val="Odstavecseseznamem"/>
              <w:numPr>
                <w:ilvl w:val="0"/>
                <w:numId w:val="20"/>
              </w:numPr>
              <w:spacing w:before="0" w:after="0" w:line="240" w:lineRule="auto"/>
              <w:jc w:val="both"/>
              <w:rPr>
                <w:rFonts w:eastAsia="Calibri"/>
              </w:rPr>
            </w:pPr>
            <w:r w:rsidRPr="003F361B">
              <w:t xml:space="preserve">nejméně </w:t>
            </w:r>
            <w:r w:rsidRPr="003F361B">
              <w:rPr>
                <w:b/>
                <w:bCs/>
              </w:rPr>
              <w:t xml:space="preserve">10 let </w:t>
            </w:r>
            <w:r w:rsidRPr="003F361B">
              <w:t xml:space="preserve">profesní praxe v oblasti finančního a/nebo ekonomického poradenství, z čehož minimálně </w:t>
            </w:r>
            <w:r w:rsidRPr="003F361B">
              <w:rPr>
                <w:b/>
                <w:bCs/>
              </w:rPr>
              <w:t>5 let</w:t>
            </w:r>
            <w:r w:rsidRPr="003F361B">
              <w:t xml:space="preserve"> profesní praxe v oblasti poskytování finančního a/nebo ekonomického poradenství v oblasti PPP projektů;</w:t>
            </w:r>
          </w:p>
          <w:p w14:paraId="70A0A5F9" w14:textId="40107DF9" w:rsidR="00DE08B2" w:rsidRPr="003F361B" w:rsidRDefault="00DE08B2" w:rsidP="00C93D25">
            <w:pPr>
              <w:pStyle w:val="Odstavecseseznamem"/>
              <w:numPr>
                <w:ilvl w:val="0"/>
                <w:numId w:val="20"/>
              </w:numPr>
              <w:spacing w:before="0" w:after="0" w:line="240" w:lineRule="auto"/>
              <w:jc w:val="both"/>
              <w:rPr>
                <w:rFonts w:eastAsia="Calibri"/>
              </w:rPr>
            </w:pPr>
            <w:r w:rsidRPr="003F361B">
              <w:rPr>
                <w:rFonts w:eastAsia="Calibri"/>
              </w:rPr>
              <w:t xml:space="preserve">Alespoň </w:t>
            </w:r>
            <w:r w:rsidRPr="003F361B">
              <w:rPr>
                <w:rFonts w:eastAsia="Calibri"/>
                <w:b/>
                <w:bCs/>
              </w:rPr>
              <w:t>dva PPP projekty</w:t>
            </w:r>
            <w:r w:rsidRPr="003F361B">
              <w:rPr>
                <w:rFonts w:eastAsia="Calibri"/>
              </w:rPr>
              <w:t xml:space="preserve">, k nimž bylo finanční a/nebo ekonomické poradenství touto osobou poskytováno, s celkovými investičními náklady (CAPEX) každého projektu ve výši minimálně </w:t>
            </w:r>
            <w:r w:rsidRPr="003F361B">
              <w:rPr>
                <w:rFonts w:eastAsia="Calibri"/>
                <w:b/>
                <w:bCs/>
              </w:rPr>
              <w:t>10 mld. Kč bez DPH</w:t>
            </w:r>
            <w:r w:rsidRPr="003F361B">
              <w:rPr>
                <w:rFonts w:eastAsia="Calibri"/>
              </w:rPr>
              <w:t xml:space="preserve">, které úspěšně dosáhly Finančního uzavření a u nichž tato osoba vykonávala funkci klíčového specialisty týmu poskytujícího finanční či ekonomické poradenství </w:t>
            </w:r>
            <w:r w:rsidRPr="003F361B">
              <w:rPr>
                <w:rFonts w:eastAsia="Calibri"/>
                <w:b/>
                <w:bCs/>
              </w:rPr>
              <w:t>po celou dobu trvání</w:t>
            </w:r>
            <w:r w:rsidRPr="003F361B">
              <w:rPr>
                <w:rFonts w:eastAsia="Calibri"/>
              </w:rPr>
              <w:t xml:space="preserve"> projektu, počítaje ode dne zahájení zadávacího řízení na danou veřejnou zakázku;</w:t>
            </w:r>
          </w:p>
          <w:p w14:paraId="3F128F1E" w14:textId="5E0C39B7" w:rsidR="008C39D7" w:rsidRPr="008C39D7" w:rsidRDefault="00DE08B2" w:rsidP="00C93D25">
            <w:pPr>
              <w:widowControl w:val="0"/>
              <w:numPr>
                <w:ilvl w:val="0"/>
                <w:numId w:val="20"/>
              </w:numPr>
              <w:spacing w:before="0" w:after="0" w:line="240" w:lineRule="auto"/>
              <w:jc w:val="both"/>
              <w:rPr>
                <w:rFonts w:eastAsia="Calibri" w:cs="Times New Roman"/>
                <w:szCs w:val="18"/>
              </w:rPr>
            </w:pPr>
            <w:r w:rsidRPr="003F361B">
              <w:rPr>
                <w:rFonts w:eastAsia="Calibri"/>
              </w:rPr>
              <w:t>Schopnost odborné komunikace v anglickém jazyce, přičemž zadavatel umožňuje splnění této zadávací podmínky také stálou účastí tlumočníka, a to na náklady dodavatele.</w:t>
            </w:r>
          </w:p>
        </w:tc>
        <w:tc>
          <w:tcPr>
            <w:tcW w:w="2313" w:type="dxa"/>
          </w:tcPr>
          <w:p w14:paraId="46093901" w14:textId="0FD9162E" w:rsidR="008C39D7" w:rsidRPr="008C39D7" w:rsidRDefault="008C39D7" w:rsidP="008C39D7">
            <w:pPr>
              <w:ind w:left="0"/>
              <w:rPr>
                <w:rFonts w:eastAsia="Calibri" w:cs="Times New Roman"/>
                <w:szCs w:val="18"/>
              </w:rPr>
            </w:pPr>
            <w:r w:rsidRPr="008C39D7">
              <w:rPr>
                <w:rFonts w:eastAsia="Calibri" w:cs="Times New Roman"/>
                <w:b/>
                <w:bCs/>
                <w:szCs w:val="18"/>
              </w:rPr>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r w:rsidRPr="00AB61B6">
              <w:rPr>
                <w:rFonts w:eastAsia="Calibri" w:cs="Times New Roman"/>
                <w:szCs w:val="18"/>
              </w:rPr>
              <w:t>.</w:t>
            </w:r>
          </w:p>
          <w:p w14:paraId="6ADCC3A9" w14:textId="77777777" w:rsidR="008C39D7" w:rsidRPr="008C39D7" w:rsidRDefault="008C39D7" w:rsidP="008C39D7">
            <w:pPr>
              <w:ind w:left="0"/>
              <w:rPr>
                <w:rFonts w:eastAsia="Calibri" w:cs="Times New Roman"/>
                <w:szCs w:val="18"/>
              </w:rPr>
            </w:pPr>
            <w:r w:rsidRPr="008C39D7">
              <w:rPr>
                <w:rFonts w:eastAsia="Calibri" w:cs="Times New Roman"/>
                <w:b/>
                <w:bCs/>
                <w:szCs w:val="18"/>
              </w:rPr>
              <w:t>Doklad o nejvýše dosaženém vzdělání</w:t>
            </w:r>
          </w:p>
        </w:tc>
      </w:tr>
      <w:tr w:rsidR="008C39D7" w:rsidRPr="008C39D7" w14:paraId="648EFAA6" w14:textId="77777777" w:rsidTr="00646BC3">
        <w:trPr>
          <w:trHeight w:val="340"/>
        </w:trPr>
        <w:tc>
          <w:tcPr>
            <w:tcW w:w="284" w:type="dxa"/>
            <w:shd w:val="clear" w:color="auto" w:fill="F2F2F2" w:themeFill="background1" w:themeFillShade="F2"/>
            <w:vAlign w:val="center"/>
          </w:tcPr>
          <w:p w14:paraId="07C80BAE"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f)</w:t>
            </w:r>
          </w:p>
        </w:tc>
        <w:tc>
          <w:tcPr>
            <w:tcW w:w="4916" w:type="dxa"/>
            <w:shd w:val="clear" w:color="auto" w:fill="F2F2F2" w:themeFill="background1" w:themeFillShade="F2"/>
            <w:vAlign w:val="center"/>
          </w:tcPr>
          <w:p w14:paraId="2074BC9F"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F2 – finanční a ekonomický poradce v oblasti PPP</w:t>
            </w:r>
            <w:r w:rsidRPr="008C39D7">
              <w:rPr>
                <w:rFonts w:eastAsia="Calibri" w:cs="Times New Roman"/>
                <w:b/>
                <w:szCs w:val="18"/>
              </w:rPr>
              <w:t xml:space="preserve"> </w:t>
            </w:r>
            <w:r w:rsidRPr="008C39D7">
              <w:rPr>
                <w:rFonts w:eastAsia="Calibri" w:cs="Times New Roman"/>
                <w:bCs/>
                <w:szCs w:val="18"/>
              </w:rPr>
              <w:t>(1 osoba)</w:t>
            </w:r>
          </w:p>
          <w:p w14:paraId="3974F242"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4B37E0AD" w14:textId="2E6959D6" w:rsidR="008F7160" w:rsidRPr="003F361B" w:rsidRDefault="008F7160" w:rsidP="00C93D25">
            <w:pPr>
              <w:pStyle w:val="Odstavecseseznamem"/>
              <w:numPr>
                <w:ilvl w:val="0"/>
                <w:numId w:val="20"/>
              </w:numPr>
              <w:spacing w:before="0" w:after="0" w:line="240" w:lineRule="auto"/>
              <w:jc w:val="both"/>
              <w:rPr>
                <w:rFonts w:eastAsia="Times New Roman"/>
              </w:rPr>
            </w:pPr>
            <w:r w:rsidRPr="003F361B">
              <w:t>minimálně bakalářské vysokoškolské vzdělání</w:t>
            </w:r>
            <w:r w:rsidR="003F0791">
              <w:t xml:space="preserve"> </w:t>
            </w:r>
            <w:r w:rsidR="003F0791" w:rsidRPr="003F0791">
              <w:t>ekonomického či finančního či matematického či právního směru</w:t>
            </w:r>
            <w:r w:rsidRPr="003F361B">
              <w:t>;</w:t>
            </w:r>
          </w:p>
          <w:p w14:paraId="39B31767" w14:textId="77777777" w:rsidR="008F7160" w:rsidRPr="003F361B" w:rsidRDefault="008F7160" w:rsidP="00C93D25">
            <w:pPr>
              <w:pStyle w:val="Odstavecseseznamem"/>
              <w:numPr>
                <w:ilvl w:val="0"/>
                <w:numId w:val="20"/>
              </w:numPr>
              <w:spacing w:before="0" w:after="0" w:line="240" w:lineRule="auto"/>
              <w:jc w:val="both"/>
              <w:rPr>
                <w:rFonts w:eastAsia="Calibri"/>
              </w:rPr>
            </w:pPr>
            <w:r w:rsidRPr="003F361B">
              <w:t xml:space="preserve">nejméně </w:t>
            </w:r>
            <w:r w:rsidRPr="003F361B">
              <w:rPr>
                <w:b/>
                <w:bCs/>
              </w:rPr>
              <w:t xml:space="preserve">8 let </w:t>
            </w:r>
            <w:r w:rsidRPr="003F361B">
              <w:t xml:space="preserve">profesní praxe v oblasti finančního a/nebo ekonomického poradenství, z čehož minimálně </w:t>
            </w:r>
            <w:r w:rsidRPr="003F361B">
              <w:rPr>
                <w:b/>
                <w:bCs/>
              </w:rPr>
              <w:t xml:space="preserve">4 roky </w:t>
            </w:r>
            <w:r w:rsidRPr="003F361B">
              <w:t xml:space="preserve">profesní praxe v oblasti </w:t>
            </w:r>
            <w:r w:rsidRPr="003F361B">
              <w:lastRenderedPageBreak/>
              <w:t>poskytování finančního a/nebo ekonomického poradenství v oblasti PPP projektů;</w:t>
            </w:r>
          </w:p>
          <w:p w14:paraId="269599FE" w14:textId="77777777" w:rsidR="008F7160" w:rsidRPr="003F361B" w:rsidRDefault="008F7160" w:rsidP="00C93D25">
            <w:pPr>
              <w:pStyle w:val="Odstavecseseznamem"/>
              <w:numPr>
                <w:ilvl w:val="0"/>
                <w:numId w:val="20"/>
              </w:numPr>
              <w:spacing w:before="0" w:after="0" w:line="240" w:lineRule="auto"/>
              <w:jc w:val="both"/>
              <w:rPr>
                <w:rFonts w:eastAsia="Calibri"/>
              </w:rPr>
            </w:pPr>
            <w:r w:rsidRPr="003F361B">
              <w:rPr>
                <w:rFonts w:eastAsia="Calibri"/>
              </w:rPr>
              <w:t xml:space="preserve">Alespoň </w:t>
            </w:r>
            <w:r w:rsidRPr="003F361B">
              <w:rPr>
                <w:rFonts w:eastAsia="Calibri"/>
                <w:b/>
                <w:bCs/>
              </w:rPr>
              <w:t>jeden PPP projekt</w:t>
            </w:r>
            <w:r w:rsidRPr="003F361B">
              <w:rPr>
                <w:rFonts w:eastAsia="Calibri"/>
              </w:rPr>
              <w:t xml:space="preserve">, k němuž bylo ekonomické a/nebo finanční poradenství touto osobou poskytováno, s celkovými investičními náklady (CAPEX) ve výši minimálně </w:t>
            </w:r>
            <w:r w:rsidRPr="003F361B">
              <w:rPr>
                <w:rFonts w:eastAsia="Calibri"/>
                <w:b/>
                <w:bCs/>
              </w:rPr>
              <w:t>10 mld. Kč bez DPH</w:t>
            </w:r>
            <w:r w:rsidRPr="003F361B">
              <w:rPr>
                <w:rFonts w:eastAsia="Calibri"/>
              </w:rPr>
              <w:t xml:space="preserve">, který úspěšně dosáhl Finančního uzavření a u něhož tato osoba vykonávala funkci klíčového specialisty týmu poskytujícího ekonomické a/nebo finanční poradenství </w:t>
            </w:r>
            <w:r w:rsidRPr="003F361B">
              <w:rPr>
                <w:rFonts w:eastAsia="Calibri"/>
                <w:b/>
                <w:bCs/>
              </w:rPr>
              <w:t>po celou dobu trvání projektu</w:t>
            </w:r>
            <w:r w:rsidRPr="003F361B">
              <w:rPr>
                <w:rFonts w:eastAsia="Calibri"/>
              </w:rPr>
              <w:t>, počítaje ode dne zahájení zadávacího řízení na danou veřejnou zakázku;</w:t>
            </w:r>
          </w:p>
          <w:p w14:paraId="7FEE9942" w14:textId="54417B5D" w:rsidR="008C39D7" w:rsidRPr="008C39D7" w:rsidRDefault="008F7160" w:rsidP="00C93D25">
            <w:pPr>
              <w:widowControl w:val="0"/>
              <w:numPr>
                <w:ilvl w:val="0"/>
                <w:numId w:val="20"/>
              </w:numPr>
              <w:spacing w:before="0" w:after="0" w:line="240" w:lineRule="auto"/>
              <w:jc w:val="both"/>
              <w:rPr>
                <w:rFonts w:eastAsia="Calibri" w:cs="Times New Roman"/>
                <w:szCs w:val="18"/>
              </w:rPr>
            </w:pPr>
            <w:r w:rsidRPr="003F361B">
              <w:rPr>
                <w:rFonts w:eastAsia="Calibri"/>
              </w:rPr>
              <w:t>Schopnost odborné komunikace v anglickém jazyce, přičemž zadavatel umožňuje splnění této zadávací podmínky také stálou účastí tlumočníka, a to na náklady dodavatele.</w:t>
            </w:r>
          </w:p>
        </w:tc>
        <w:tc>
          <w:tcPr>
            <w:tcW w:w="2313" w:type="dxa"/>
            <w:shd w:val="clear" w:color="auto" w:fill="F2F2F2" w:themeFill="background1" w:themeFillShade="F2"/>
          </w:tcPr>
          <w:p w14:paraId="7F7A83BD" w14:textId="68044E18" w:rsidR="008C39D7" w:rsidRPr="008C39D7" w:rsidRDefault="008C39D7" w:rsidP="008C39D7">
            <w:pPr>
              <w:ind w:left="0"/>
              <w:rPr>
                <w:rFonts w:eastAsia="Calibri" w:cs="Times New Roman"/>
                <w:szCs w:val="18"/>
              </w:rPr>
            </w:pPr>
            <w:r w:rsidRPr="008C39D7">
              <w:rPr>
                <w:rFonts w:eastAsia="Calibri" w:cs="Times New Roman"/>
                <w:b/>
                <w:bCs/>
                <w:szCs w:val="18"/>
              </w:rPr>
              <w:lastRenderedPageBreak/>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p>
          <w:p w14:paraId="1A1CF927"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67AE9843" w14:textId="77777777" w:rsidTr="00646BC3">
        <w:trPr>
          <w:trHeight w:val="340"/>
        </w:trPr>
        <w:tc>
          <w:tcPr>
            <w:tcW w:w="284" w:type="dxa"/>
            <w:vAlign w:val="center"/>
          </w:tcPr>
          <w:p w14:paraId="5C3295F5"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g)</w:t>
            </w:r>
          </w:p>
        </w:tc>
        <w:tc>
          <w:tcPr>
            <w:tcW w:w="4916" w:type="dxa"/>
            <w:vAlign w:val="center"/>
          </w:tcPr>
          <w:p w14:paraId="1BAFC82D"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F3 – finanční a ekonomický poradce</w:t>
            </w:r>
            <w:r w:rsidRPr="008C39D7">
              <w:rPr>
                <w:rFonts w:eastAsia="Calibri" w:cs="Times New Roman"/>
                <w:bCs/>
                <w:szCs w:val="18"/>
              </w:rPr>
              <w:t xml:space="preserve"> (1 osoba)</w:t>
            </w:r>
          </w:p>
          <w:p w14:paraId="419F169A"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78993930" w14:textId="1AD872C1" w:rsidR="002A0168" w:rsidRPr="003F361B" w:rsidRDefault="002A0168" w:rsidP="00C93D25">
            <w:pPr>
              <w:widowControl w:val="0"/>
              <w:numPr>
                <w:ilvl w:val="0"/>
                <w:numId w:val="20"/>
              </w:numPr>
              <w:spacing w:before="0" w:after="0" w:line="240" w:lineRule="auto"/>
              <w:contextualSpacing/>
              <w:jc w:val="both"/>
              <w:rPr>
                <w:rFonts w:eastAsia="Times New Roman" w:cs="Times New Roman"/>
                <w:szCs w:val="18"/>
                <w:lang w:eastAsia="cs-CZ"/>
              </w:rPr>
            </w:pPr>
            <w:r w:rsidRPr="003F361B">
              <w:rPr>
                <w:rFonts w:eastAsia="Times New Roman" w:cs="Times New Roman"/>
                <w:szCs w:val="18"/>
                <w:lang w:eastAsia="cs-CZ"/>
              </w:rPr>
              <w:t>minimálně bakalářské vysokoškolské vzdělání</w:t>
            </w:r>
            <w:r w:rsidR="003F0791">
              <w:t xml:space="preserve"> </w:t>
            </w:r>
            <w:r w:rsidR="003F0791" w:rsidRPr="003F0791">
              <w:rPr>
                <w:rFonts w:eastAsia="Times New Roman" w:cs="Times New Roman"/>
                <w:szCs w:val="18"/>
                <w:lang w:eastAsia="cs-CZ"/>
              </w:rPr>
              <w:t>ekonomického či finančního či matematického či právního směru</w:t>
            </w:r>
            <w:r w:rsidRPr="003F361B">
              <w:rPr>
                <w:rFonts w:eastAsia="Times New Roman" w:cs="Times New Roman"/>
                <w:szCs w:val="18"/>
                <w:lang w:eastAsia="cs-CZ"/>
              </w:rPr>
              <w:t>;</w:t>
            </w:r>
          </w:p>
          <w:p w14:paraId="2933F088" w14:textId="4BFF0655" w:rsidR="002A0168" w:rsidRPr="003F361B" w:rsidRDefault="002A0168" w:rsidP="00C93D25">
            <w:pPr>
              <w:widowControl w:val="0"/>
              <w:numPr>
                <w:ilvl w:val="0"/>
                <w:numId w:val="20"/>
              </w:numPr>
              <w:spacing w:before="0" w:after="0" w:line="240" w:lineRule="auto"/>
              <w:contextualSpacing/>
              <w:jc w:val="both"/>
              <w:rPr>
                <w:rFonts w:eastAsia="Times New Roman" w:cs="Times New Roman"/>
                <w:szCs w:val="18"/>
                <w:lang w:eastAsia="cs-CZ"/>
              </w:rPr>
            </w:pPr>
            <w:r w:rsidRPr="003F361B">
              <w:rPr>
                <w:rFonts w:eastAsia="Times New Roman" w:cs="Times New Roman"/>
                <w:szCs w:val="18"/>
                <w:lang w:eastAsia="cs-CZ"/>
              </w:rPr>
              <w:t xml:space="preserve">nejméně </w:t>
            </w:r>
            <w:r w:rsidRPr="003F361B">
              <w:rPr>
                <w:rFonts w:eastAsia="Times New Roman" w:cs="Times New Roman"/>
                <w:b/>
                <w:bCs/>
                <w:szCs w:val="18"/>
                <w:lang w:eastAsia="cs-CZ"/>
              </w:rPr>
              <w:t>8 let</w:t>
            </w:r>
            <w:r w:rsidRPr="003F361B">
              <w:rPr>
                <w:rFonts w:eastAsia="Times New Roman" w:cs="Times New Roman"/>
                <w:szCs w:val="18"/>
                <w:lang w:eastAsia="cs-CZ"/>
              </w:rPr>
              <w:t xml:space="preserve"> profesní praxe v oblasti finančního a/nebo ekonomického poradenství</w:t>
            </w:r>
            <w:r w:rsidR="005C5013">
              <w:rPr>
                <w:rFonts w:eastAsia="Times New Roman" w:cs="Times New Roman"/>
                <w:szCs w:val="18"/>
                <w:lang w:eastAsia="cs-CZ"/>
              </w:rPr>
              <w:t>, které zahrnovalo také poradenství v oblasti daní a účetnictví</w:t>
            </w:r>
            <w:r w:rsidRPr="003F361B">
              <w:rPr>
                <w:rFonts w:eastAsia="Times New Roman" w:cs="Times New Roman"/>
                <w:szCs w:val="18"/>
                <w:lang w:eastAsia="cs-CZ"/>
              </w:rPr>
              <w:t>;</w:t>
            </w:r>
          </w:p>
          <w:p w14:paraId="489F6241" w14:textId="77777777" w:rsidR="002A0168" w:rsidRPr="003F361B" w:rsidRDefault="002A0168" w:rsidP="00C93D25">
            <w:pPr>
              <w:widowControl w:val="0"/>
              <w:numPr>
                <w:ilvl w:val="0"/>
                <w:numId w:val="20"/>
              </w:numPr>
              <w:spacing w:before="0" w:after="0" w:line="240" w:lineRule="auto"/>
              <w:contextualSpacing/>
              <w:jc w:val="both"/>
              <w:rPr>
                <w:rFonts w:eastAsia="Times New Roman" w:cs="Times New Roman"/>
                <w:szCs w:val="18"/>
                <w:lang w:eastAsia="cs-CZ"/>
              </w:rPr>
            </w:pPr>
            <w:r w:rsidRPr="003F361B">
              <w:rPr>
                <w:rFonts w:eastAsia="Times New Roman" w:cs="Times New Roman"/>
                <w:szCs w:val="18"/>
                <w:lang w:eastAsia="cs-CZ"/>
              </w:rPr>
              <w:t xml:space="preserve">Alespoň: </w:t>
            </w:r>
          </w:p>
          <w:p w14:paraId="25893114" w14:textId="4030B150" w:rsidR="002A0168" w:rsidRPr="003F361B" w:rsidRDefault="002A0168" w:rsidP="00C93D25">
            <w:pPr>
              <w:pStyle w:val="Odstavecseseznamem"/>
              <w:widowControl w:val="0"/>
              <w:numPr>
                <w:ilvl w:val="0"/>
                <w:numId w:val="22"/>
              </w:numPr>
              <w:spacing w:before="0" w:after="0" w:line="240" w:lineRule="auto"/>
              <w:jc w:val="both"/>
              <w:rPr>
                <w:rFonts w:eastAsia="Times New Roman" w:cs="Times New Roman"/>
                <w:szCs w:val="18"/>
                <w:lang w:eastAsia="cs-CZ"/>
              </w:rPr>
            </w:pPr>
            <w:r w:rsidRPr="003F361B">
              <w:rPr>
                <w:rFonts w:eastAsia="Times New Roman" w:cs="Times New Roman"/>
                <w:b/>
                <w:bCs/>
                <w:szCs w:val="18"/>
                <w:lang w:eastAsia="cs-CZ"/>
              </w:rPr>
              <w:t>tři</w:t>
            </w:r>
            <w:r w:rsidRPr="003F361B">
              <w:rPr>
                <w:rFonts w:eastAsia="Times New Roman" w:cs="Times New Roman"/>
                <w:szCs w:val="18"/>
                <w:lang w:eastAsia="cs-CZ"/>
              </w:rPr>
              <w:t xml:space="preserve"> referenční služby v oblasti projektového financování, ve </w:t>
            </w:r>
            <w:proofErr w:type="gramStart"/>
            <w:r w:rsidRPr="003F361B">
              <w:rPr>
                <w:rFonts w:eastAsia="Times New Roman" w:cs="Times New Roman"/>
                <w:szCs w:val="18"/>
                <w:lang w:eastAsia="cs-CZ"/>
              </w:rPr>
              <w:t>vztahu</w:t>
            </w:r>
            <w:proofErr w:type="gramEnd"/>
            <w:r w:rsidRPr="003F361B">
              <w:rPr>
                <w:rFonts w:eastAsia="Times New Roman" w:cs="Times New Roman"/>
                <w:szCs w:val="18"/>
                <w:lang w:eastAsia="cs-CZ"/>
              </w:rPr>
              <w:t xml:space="preserve"> k nimž bylo finanční a/nebo ekonomické poradenství touto osobou poskytováno, musí být referenční služby v hodnotě alespoň </w:t>
            </w:r>
            <w:r w:rsidRPr="003F361B">
              <w:rPr>
                <w:rFonts w:eastAsia="Times New Roman" w:cs="Times New Roman"/>
                <w:b/>
                <w:bCs/>
                <w:szCs w:val="18"/>
                <w:lang w:eastAsia="cs-CZ"/>
              </w:rPr>
              <w:t>5 mil. Kč bez DPH za každou jednu referenční službu</w:t>
            </w:r>
            <w:r w:rsidRPr="003F361B">
              <w:rPr>
                <w:rFonts w:eastAsia="Times New Roman" w:cs="Times New Roman"/>
                <w:szCs w:val="18"/>
                <w:lang w:eastAsia="cs-CZ"/>
              </w:rPr>
              <w:t xml:space="preserve">, u nichž tato osoba vykonávala funkci klíčového specialisty týmu poskytujícího finanční či ekonomické poradenství alespoň </w:t>
            </w:r>
            <w:r w:rsidRPr="003F361B">
              <w:rPr>
                <w:rFonts w:eastAsia="Times New Roman" w:cs="Times New Roman"/>
                <w:b/>
                <w:bCs/>
                <w:szCs w:val="18"/>
                <w:lang w:eastAsia="cs-CZ"/>
              </w:rPr>
              <w:t>po většinu doby trvání projektu</w:t>
            </w:r>
            <w:r w:rsidRPr="003F361B">
              <w:rPr>
                <w:rFonts w:eastAsia="Times New Roman" w:cs="Times New Roman"/>
                <w:szCs w:val="18"/>
                <w:lang w:eastAsia="cs-CZ"/>
              </w:rPr>
              <w:t>;</w:t>
            </w:r>
          </w:p>
          <w:p w14:paraId="1B2CA176" w14:textId="77777777" w:rsidR="002A0168" w:rsidRPr="003F361B" w:rsidRDefault="002A0168" w:rsidP="002A0168">
            <w:pPr>
              <w:widowControl w:val="0"/>
              <w:spacing w:before="0" w:after="0" w:line="240" w:lineRule="auto"/>
              <w:ind w:left="360"/>
              <w:contextualSpacing/>
              <w:jc w:val="both"/>
              <w:rPr>
                <w:rFonts w:eastAsia="Times New Roman" w:cs="Times New Roman"/>
                <w:szCs w:val="18"/>
                <w:lang w:eastAsia="cs-CZ"/>
              </w:rPr>
            </w:pPr>
            <w:r w:rsidRPr="003F361B">
              <w:rPr>
                <w:rFonts w:eastAsia="Times New Roman" w:cs="Times New Roman"/>
                <w:i/>
                <w:iCs/>
                <w:szCs w:val="18"/>
                <w:lang w:eastAsia="cs-CZ"/>
              </w:rPr>
              <w:t>nebo</w:t>
            </w:r>
          </w:p>
          <w:p w14:paraId="1A3AF380" w14:textId="44BE59C1" w:rsidR="002A0168" w:rsidRPr="003F361B" w:rsidRDefault="002A0168" w:rsidP="00C93D25">
            <w:pPr>
              <w:pStyle w:val="Odstavecseseznamem"/>
              <w:widowControl w:val="0"/>
              <w:numPr>
                <w:ilvl w:val="0"/>
                <w:numId w:val="22"/>
              </w:numPr>
              <w:spacing w:before="0" w:after="0" w:line="240" w:lineRule="auto"/>
              <w:jc w:val="both"/>
              <w:rPr>
                <w:rFonts w:eastAsia="Times New Roman" w:cs="Times New Roman"/>
                <w:szCs w:val="18"/>
                <w:lang w:eastAsia="cs-CZ"/>
              </w:rPr>
            </w:pPr>
            <w:r w:rsidRPr="003F361B">
              <w:rPr>
                <w:rFonts w:eastAsia="Times New Roman" w:cs="Times New Roman"/>
                <w:b/>
                <w:bCs/>
                <w:szCs w:val="18"/>
                <w:lang w:eastAsia="cs-CZ"/>
              </w:rPr>
              <w:t>jednu</w:t>
            </w:r>
            <w:r w:rsidRPr="003F361B">
              <w:rPr>
                <w:rFonts w:eastAsia="Times New Roman" w:cs="Times New Roman"/>
                <w:szCs w:val="18"/>
                <w:lang w:eastAsia="cs-CZ"/>
              </w:rPr>
              <w:t xml:space="preserve"> referenční službu v oblasti finančního a/nebo ekonomického poradenství u </w:t>
            </w:r>
            <w:r w:rsidR="00FF1867" w:rsidRPr="00FF1867">
              <w:rPr>
                <w:rFonts w:eastAsia="Calibri" w:cs="Times New Roman"/>
                <w:szCs w:val="18"/>
              </w:rPr>
              <w:t xml:space="preserve">PPP projektu </w:t>
            </w:r>
            <w:r w:rsidR="00247BF0" w:rsidRPr="003F361B">
              <w:rPr>
                <w:rFonts w:eastAsia="Calibri" w:cs="Times New Roman"/>
                <w:szCs w:val="18"/>
              </w:rPr>
              <w:t xml:space="preserve"> </w:t>
            </w:r>
            <w:r w:rsidRPr="003F361B">
              <w:rPr>
                <w:rFonts w:eastAsia="Times New Roman" w:cs="Times New Roman"/>
                <w:szCs w:val="18"/>
                <w:lang w:eastAsia="cs-CZ"/>
              </w:rPr>
              <w:t>s celkovými investičními náklady (</w:t>
            </w:r>
            <w:r w:rsidRPr="003F361B">
              <w:rPr>
                <w:rFonts w:eastAsia="Times New Roman" w:cs="Times New Roman"/>
                <w:b/>
                <w:bCs/>
                <w:szCs w:val="18"/>
                <w:lang w:eastAsia="cs-CZ"/>
              </w:rPr>
              <w:t>CAPEX</w:t>
            </w:r>
            <w:r w:rsidRPr="003F361B">
              <w:rPr>
                <w:rFonts w:eastAsia="Times New Roman" w:cs="Times New Roman"/>
                <w:szCs w:val="18"/>
                <w:lang w:eastAsia="cs-CZ"/>
              </w:rPr>
              <w:t xml:space="preserve">) ve výši minimálně </w:t>
            </w:r>
            <w:r w:rsidRPr="003F361B">
              <w:rPr>
                <w:rFonts w:eastAsia="Times New Roman" w:cs="Times New Roman"/>
                <w:b/>
                <w:bCs/>
                <w:szCs w:val="18"/>
                <w:lang w:eastAsia="cs-CZ"/>
              </w:rPr>
              <w:t>10 mld. Kč</w:t>
            </w:r>
            <w:r w:rsidRPr="003F361B">
              <w:rPr>
                <w:rFonts w:eastAsia="Times New Roman" w:cs="Times New Roman"/>
                <w:szCs w:val="18"/>
                <w:lang w:eastAsia="cs-CZ"/>
              </w:rPr>
              <w:t>, u něhož tato osoba vykonávala funkci klíčového specialisty týmu poskytujícího finanční či ekonomické poradenství alespoň po většinu doby trvání projektu</w:t>
            </w:r>
            <w:r w:rsidR="00C622BB">
              <w:rPr>
                <w:rFonts w:eastAsia="Times New Roman" w:cs="Times New Roman"/>
                <w:szCs w:val="18"/>
                <w:lang w:eastAsia="cs-CZ"/>
              </w:rPr>
              <w:t xml:space="preserve"> </w:t>
            </w:r>
            <w:r w:rsidR="00C622BB" w:rsidRPr="00C622BB">
              <w:rPr>
                <w:rFonts w:eastAsia="Times New Roman" w:cs="Times New Roman"/>
                <w:szCs w:val="18"/>
                <w:lang w:eastAsia="cs-CZ"/>
              </w:rPr>
              <w:t xml:space="preserve">přičemž je dostačující, pokud poradenství bylo poskytováno v rámci projektu, který měl/má být formou PPP realizován, tj. poradenství bylo poskytováno v rámci ověřování či přípravy takového projektu, aniž by bylo </w:t>
            </w:r>
            <w:r w:rsidR="00C622BB" w:rsidRPr="00C622BB">
              <w:rPr>
                <w:rFonts w:eastAsia="Times New Roman" w:cs="Times New Roman"/>
                <w:szCs w:val="18"/>
                <w:lang w:eastAsia="cs-CZ"/>
              </w:rPr>
              <w:lastRenderedPageBreak/>
              <w:t>rozhodné, zda tento projekt dosáhl Smluvního či Finančního uzavření, tj. zda projekt byl nebo nebyl realizován, přičemž požadováno je, aby se jednalo o poradenství, na základě jehož výsledku bylo rozhodnuto alespoň o zahájení realizace zadávacího řízení na soukromého partnera či o poradenství v rámci samotného zadávacího řízení na soukromého partnera</w:t>
            </w:r>
            <w:r w:rsidRPr="003F361B">
              <w:rPr>
                <w:rFonts w:eastAsia="Times New Roman" w:cs="Times New Roman"/>
                <w:szCs w:val="18"/>
                <w:lang w:eastAsia="cs-CZ"/>
              </w:rPr>
              <w:t>;</w:t>
            </w:r>
          </w:p>
          <w:p w14:paraId="6DD35D2B" w14:textId="4521356C" w:rsidR="008C39D7" w:rsidRPr="003F361B" w:rsidRDefault="002A0168" w:rsidP="00C93D25">
            <w:pPr>
              <w:pStyle w:val="Odstavecseseznamem"/>
              <w:widowControl w:val="0"/>
              <w:numPr>
                <w:ilvl w:val="1"/>
                <w:numId w:val="20"/>
              </w:numPr>
              <w:spacing w:before="0" w:after="0" w:line="240" w:lineRule="auto"/>
              <w:ind w:left="329"/>
              <w:jc w:val="both"/>
              <w:rPr>
                <w:rFonts w:eastAsia="Calibri" w:cs="Times New Roman"/>
                <w:szCs w:val="18"/>
              </w:rPr>
            </w:pPr>
            <w:r w:rsidRPr="003F361B">
              <w:rPr>
                <w:rFonts w:eastAsia="Times New Roman" w:cs="Times New Roman"/>
                <w:szCs w:val="18"/>
                <w:lang w:eastAsia="cs-CZ"/>
              </w:rPr>
              <w:t xml:space="preserve">Schopnost odborné komunikace v českém (nebo slovenském) jazyce a </w:t>
            </w:r>
            <w:r w:rsidR="00C4157E">
              <w:rPr>
                <w:rFonts w:eastAsia="Times New Roman" w:cs="Times New Roman"/>
                <w:szCs w:val="18"/>
                <w:lang w:eastAsia="cs-CZ"/>
              </w:rPr>
              <w:t xml:space="preserve">v </w:t>
            </w:r>
            <w:r w:rsidRPr="003F361B">
              <w:rPr>
                <w:rFonts w:eastAsia="Times New Roman" w:cs="Times New Roman"/>
                <w:szCs w:val="18"/>
                <w:lang w:eastAsia="cs-CZ"/>
              </w:rPr>
              <w:t>anglickém jazyce, přičemž zadavatel umožňuje splnění této zadávací podmínky také stálou účastí tlumočníka, a to na náklady dodavatele.</w:t>
            </w:r>
          </w:p>
        </w:tc>
        <w:tc>
          <w:tcPr>
            <w:tcW w:w="2313" w:type="dxa"/>
          </w:tcPr>
          <w:p w14:paraId="60AA308E" w14:textId="2FC98723" w:rsidR="008C39D7" w:rsidRPr="008C39D7" w:rsidRDefault="008C39D7" w:rsidP="008C39D7">
            <w:pPr>
              <w:ind w:left="0"/>
              <w:rPr>
                <w:rFonts w:eastAsia="Calibri" w:cs="Times New Roman"/>
                <w:szCs w:val="18"/>
              </w:rPr>
            </w:pPr>
            <w:r w:rsidRPr="008C39D7">
              <w:rPr>
                <w:rFonts w:eastAsia="Calibri" w:cs="Times New Roman"/>
                <w:b/>
                <w:bCs/>
                <w:szCs w:val="18"/>
              </w:rPr>
              <w:lastRenderedPageBreak/>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p>
          <w:p w14:paraId="7C15B430"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3DF727F9" w14:textId="77777777" w:rsidTr="00646BC3">
        <w:trPr>
          <w:trHeight w:val="340"/>
        </w:trPr>
        <w:tc>
          <w:tcPr>
            <w:tcW w:w="284" w:type="dxa"/>
            <w:shd w:val="clear" w:color="auto" w:fill="F2F2F2" w:themeFill="background1" w:themeFillShade="F2"/>
            <w:vAlign w:val="center"/>
          </w:tcPr>
          <w:p w14:paraId="301421E0"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h)</w:t>
            </w:r>
          </w:p>
        </w:tc>
        <w:tc>
          <w:tcPr>
            <w:tcW w:w="4916" w:type="dxa"/>
            <w:shd w:val="clear" w:color="auto" w:fill="F2F2F2" w:themeFill="background1" w:themeFillShade="F2"/>
            <w:vAlign w:val="center"/>
          </w:tcPr>
          <w:p w14:paraId="0F64588F"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F4 – finanční a ekonomický poradce</w:t>
            </w:r>
            <w:r w:rsidRPr="008C39D7">
              <w:rPr>
                <w:rFonts w:eastAsia="Calibri" w:cs="Times New Roman"/>
                <w:bCs/>
                <w:szCs w:val="18"/>
              </w:rPr>
              <w:t xml:space="preserve"> (1 osoba)</w:t>
            </w:r>
          </w:p>
          <w:p w14:paraId="17A612AF"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79F27953" w14:textId="5DAF2260" w:rsidR="00C70708" w:rsidRPr="00C70708" w:rsidRDefault="00C70708" w:rsidP="00C93D25">
            <w:pPr>
              <w:widowControl w:val="0"/>
              <w:numPr>
                <w:ilvl w:val="0"/>
                <w:numId w:val="20"/>
              </w:numPr>
              <w:spacing w:before="0" w:after="0" w:line="240" w:lineRule="auto"/>
              <w:contextualSpacing/>
              <w:jc w:val="both"/>
              <w:rPr>
                <w:rFonts w:eastAsia="Times New Roman" w:cs="Times New Roman"/>
                <w:szCs w:val="18"/>
                <w:lang w:eastAsia="cs-CZ"/>
              </w:rPr>
            </w:pPr>
            <w:r w:rsidRPr="00C70708">
              <w:rPr>
                <w:rFonts w:eastAsia="Times New Roman" w:cs="Times New Roman"/>
                <w:szCs w:val="18"/>
                <w:lang w:eastAsia="cs-CZ"/>
              </w:rPr>
              <w:t>minimálně bakalářské vysokoškolské vzdělání</w:t>
            </w:r>
            <w:r w:rsidR="003F0791">
              <w:t xml:space="preserve"> </w:t>
            </w:r>
            <w:r w:rsidR="003F0791" w:rsidRPr="003F0791">
              <w:rPr>
                <w:rFonts w:eastAsia="Times New Roman" w:cs="Times New Roman"/>
                <w:szCs w:val="18"/>
                <w:lang w:eastAsia="cs-CZ"/>
              </w:rPr>
              <w:t>ekonomického či finančního či matematického či právního směru</w:t>
            </w:r>
            <w:r w:rsidRPr="00C70708">
              <w:rPr>
                <w:rFonts w:eastAsia="Times New Roman" w:cs="Times New Roman"/>
                <w:szCs w:val="18"/>
                <w:lang w:eastAsia="cs-CZ"/>
              </w:rPr>
              <w:t>;</w:t>
            </w:r>
          </w:p>
          <w:p w14:paraId="662550AC" w14:textId="2130A168" w:rsidR="00C70708" w:rsidRPr="00C70708" w:rsidRDefault="00C70708" w:rsidP="00C93D25">
            <w:pPr>
              <w:widowControl w:val="0"/>
              <w:numPr>
                <w:ilvl w:val="0"/>
                <w:numId w:val="20"/>
              </w:numPr>
              <w:spacing w:before="0" w:after="0" w:line="240" w:lineRule="auto"/>
              <w:contextualSpacing/>
              <w:jc w:val="both"/>
              <w:rPr>
                <w:rFonts w:eastAsia="Times New Roman" w:cs="Times New Roman"/>
                <w:szCs w:val="18"/>
                <w:lang w:eastAsia="cs-CZ"/>
              </w:rPr>
            </w:pPr>
            <w:r w:rsidRPr="00C70708">
              <w:rPr>
                <w:rFonts w:eastAsia="Times New Roman" w:cs="Times New Roman"/>
                <w:szCs w:val="18"/>
                <w:lang w:eastAsia="cs-CZ"/>
              </w:rPr>
              <w:t xml:space="preserve">nejméně </w:t>
            </w:r>
            <w:r w:rsidRPr="00C70708">
              <w:rPr>
                <w:rFonts w:eastAsia="Times New Roman" w:cs="Times New Roman"/>
                <w:b/>
                <w:bCs/>
                <w:szCs w:val="18"/>
                <w:lang w:eastAsia="cs-CZ"/>
              </w:rPr>
              <w:t>8 let</w:t>
            </w:r>
            <w:r w:rsidRPr="00C70708">
              <w:rPr>
                <w:rFonts w:eastAsia="Times New Roman" w:cs="Times New Roman"/>
                <w:szCs w:val="18"/>
                <w:lang w:eastAsia="cs-CZ"/>
              </w:rPr>
              <w:t xml:space="preserve"> profesní praxe v oblasti finančního a/nebo ekonomického poradenství</w:t>
            </w:r>
            <w:r w:rsidR="00841C89">
              <w:rPr>
                <w:rFonts w:eastAsia="Times New Roman" w:cs="Times New Roman"/>
                <w:szCs w:val="18"/>
                <w:lang w:eastAsia="cs-CZ"/>
              </w:rPr>
              <w:t>,</w:t>
            </w:r>
            <w:r w:rsidR="00841C89">
              <w:t xml:space="preserve"> </w:t>
            </w:r>
            <w:r w:rsidR="00841C89" w:rsidRPr="00841C89">
              <w:rPr>
                <w:rFonts w:eastAsia="Times New Roman" w:cs="Times New Roman"/>
                <w:szCs w:val="18"/>
                <w:lang w:eastAsia="cs-CZ"/>
              </w:rPr>
              <w:t>které zahrnovalo také poradenství v</w:t>
            </w:r>
            <w:r w:rsidR="00841C89">
              <w:rPr>
                <w:rFonts w:eastAsia="Times New Roman" w:cs="Times New Roman"/>
                <w:szCs w:val="18"/>
                <w:lang w:eastAsia="cs-CZ"/>
              </w:rPr>
              <w:t> </w:t>
            </w:r>
            <w:r w:rsidR="00841C89" w:rsidRPr="00841C89">
              <w:rPr>
                <w:rFonts w:eastAsia="Times New Roman" w:cs="Times New Roman"/>
                <w:szCs w:val="18"/>
                <w:lang w:eastAsia="cs-CZ"/>
              </w:rPr>
              <w:t xml:space="preserve">oblasti </w:t>
            </w:r>
            <w:r w:rsidR="00841C89">
              <w:rPr>
                <w:rFonts w:eastAsia="Times New Roman" w:cs="Times New Roman"/>
                <w:szCs w:val="18"/>
                <w:lang w:eastAsia="cs-CZ"/>
              </w:rPr>
              <w:t>ESA 2010</w:t>
            </w:r>
            <w:r w:rsidRPr="00C70708">
              <w:rPr>
                <w:rFonts w:eastAsia="Times New Roman" w:cs="Times New Roman"/>
                <w:szCs w:val="18"/>
                <w:lang w:eastAsia="cs-CZ"/>
              </w:rPr>
              <w:t>;</w:t>
            </w:r>
          </w:p>
          <w:p w14:paraId="4094C980" w14:textId="77777777" w:rsidR="00C70708" w:rsidRPr="00C70708" w:rsidRDefault="00C70708" w:rsidP="00C93D25">
            <w:pPr>
              <w:widowControl w:val="0"/>
              <w:numPr>
                <w:ilvl w:val="0"/>
                <w:numId w:val="20"/>
              </w:numPr>
              <w:spacing w:before="0" w:after="0" w:line="240" w:lineRule="auto"/>
              <w:contextualSpacing/>
              <w:jc w:val="both"/>
              <w:rPr>
                <w:rFonts w:eastAsia="Times New Roman" w:cs="Times New Roman"/>
                <w:szCs w:val="18"/>
                <w:lang w:eastAsia="cs-CZ"/>
              </w:rPr>
            </w:pPr>
            <w:r w:rsidRPr="00C70708">
              <w:rPr>
                <w:rFonts w:eastAsia="Times New Roman" w:cs="Times New Roman"/>
                <w:szCs w:val="18"/>
                <w:lang w:eastAsia="cs-CZ"/>
              </w:rPr>
              <w:t xml:space="preserve">Alespoň: </w:t>
            </w:r>
          </w:p>
          <w:p w14:paraId="2703065F" w14:textId="77777777" w:rsidR="00C70708" w:rsidRPr="00C70708" w:rsidRDefault="00C70708" w:rsidP="00C93D25">
            <w:pPr>
              <w:widowControl w:val="0"/>
              <w:numPr>
                <w:ilvl w:val="0"/>
                <w:numId w:val="23"/>
              </w:numPr>
              <w:spacing w:before="0" w:after="0" w:line="240" w:lineRule="auto"/>
              <w:contextualSpacing/>
              <w:jc w:val="both"/>
              <w:rPr>
                <w:rFonts w:eastAsia="Times New Roman" w:cs="Times New Roman"/>
                <w:szCs w:val="18"/>
                <w:lang w:eastAsia="cs-CZ"/>
              </w:rPr>
            </w:pPr>
            <w:r w:rsidRPr="00C70708">
              <w:rPr>
                <w:rFonts w:eastAsia="Times New Roman" w:cs="Times New Roman"/>
                <w:b/>
                <w:bCs/>
                <w:szCs w:val="18"/>
                <w:lang w:eastAsia="cs-CZ"/>
              </w:rPr>
              <w:t>tři</w:t>
            </w:r>
            <w:r w:rsidRPr="00C70708">
              <w:rPr>
                <w:rFonts w:eastAsia="Times New Roman" w:cs="Times New Roman"/>
                <w:szCs w:val="18"/>
                <w:lang w:eastAsia="cs-CZ"/>
              </w:rPr>
              <w:t xml:space="preserve"> referenční služby v oblasti projektového financování, ve </w:t>
            </w:r>
            <w:proofErr w:type="gramStart"/>
            <w:r w:rsidRPr="00C70708">
              <w:rPr>
                <w:rFonts w:eastAsia="Times New Roman" w:cs="Times New Roman"/>
                <w:szCs w:val="18"/>
                <w:lang w:eastAsia="cs-CZ"/>
              </w:rPr>
              <w:t>vztahu</w:t>
            </w:r>
            <w:proofErr w:type="gramEnd"/>
            <w:r w:rsidRPr="00C70708">
              <w:rPr>
                <w:rFonts w:eastAsia="Times New Roman" w:cs="Times New Roman"/>
                <w:szCs w:val="18"/>
                <w:lang w:eastAsia="cs-CZ"/>
              </w:rPr>
              <w:t xml:space="preserve"> k nimž bylo finanční a/nebo ekonomické poradenství touto osobou poskytováno, musí být referenční služby v hodnotě alespoň </w:t>
            </w:r>
            <w:r w:rsidRPr="00C70708">
              <w:rPr>
                <w:rFonts w:eastAsia="Times New Roman" w:cs="Times New Roman"/>
                <w:b/>
                <w:bCs/>
                <w:szCs w:val="18"/>
                <w:lang w:eastAsia="cs-CZ"/>
              </w:rPr>
              <w:t>5 mil. Kč bez DPH za každou jednu referenční službu</w:t>
            </w:r>
            <w:r w:rsidRPr="00C70708">
              <w:rPr>
                <w:rFonts w:eastAsia="Times New Roman" w:cs="Times New Roman"/>
                <w:szCs w:val="18"/>
                <w:lang w:eastAsia="cs-CZ"/>
              </w:rPr>
              <w:t xml:space="preserve">, u nichž tato osoba vykonávala funkci klíčového specialisty týmu poskytujícího finanční či ekonomické poradenství alespoň </w:t>
            </w:r>
            <w:r w:rsidRPr="00C70708">
              <w:rPr>
                <w:rFonts w:eastAsia="Times New Roman" w:cs="Times New Roman"/>
                <w:b/>
                <w:bCs/>
                <w:szCs w:val="18"/>
                <w:lang w:eastAsia="cs-CZ"/>
              </w:rPr>
              <w:t>po většinu doby trvání projektu</w:t>
            </w:r>
            <w:r w:rsidRPr="00C70708">
              <w:rPr>
                <w:rFonts w:eastAsia="Times New Roman" w:cs="Times New Roman"/>
                <w:szCs w:val="18"/>
                <w:lang w:eastAsia="cs-CZ"/>
              </w:rPr>
              <w:t>;</w:t>
            </w:r>
          </w:p>
          <w:p w14:paraId="3A18404E" w14:textId="77777777" w:rsidR="00C70708" w:rsidRPr="00C70708" w:rsidRDefault="00C70708" w:rsidP="00C70708">
            <w:pPr>
              <w:widowControl w:val="0"/>
              <w:spacing w:before="0" w:after="0" w:line="240" w:lineRule="auto"/>
              <w:ind w:left="360"/>
              <w:contextualSpacing/>
              <w:jc w:val="both"/>
              <w:rPr>
                <w:rFonts w:eastAsia="Times New Roman" w:cs="Times New Roman"/>
                <w:szCs w:val="18"/>
                <w:lang w:eastAsia="cs-CZ"/>
              </w:rPr>
            </w:pPr>
            <w:r w:rsidRPr="00C70708">
              <w:rPr>
                <w:rFonts w:eastAsia="Times New Roman" w:cs="Times New Roman"/>
                <w:i/>
                <w:iCs/>
                <w:szCs w:val="18"/>
                <w:lang w:eastAsia="cs-CZ"/>
              </w:rPr>
              <w:t>nebo</w:t>
            </w:r>
          </w:p>
          <w:p w14:paraId="4F67C95A" w14:textId="7DF8EEA4" w:rsidR="00C70708" w:rsidRPr="00C70708" w:rsidRDefault="00C70708" w:rsidP="00C93D25">
            <w:pPr>
              <w:widowControl w:val="0"/>
              <w:numPr>
                <w:ilvl w:val="0"/>
                <w:numId w:val="23"/>
              </w:numPr>
              <w:spacing w:before="0" w:after="0" w:line="240" w:lineRule="auto"/>
              <w:contextualSpacing/>
              <w:jc w:val="both"/>
              <w:rPr>
                <w:rFonts w:eastAsia="Times New Roman" w:cs="Times New Roman"/>
                <w:szCs w:val="18"/>
                <w:lang w:eastAsia="cs-CZ"/>
              </w:rPr>
            </w:pPr>
            <w:r w:rsidRPr="00C70708">
              <w:rPr>
                <w:rFonts w:eastAsia="Times New Roman" w:cs="Times New Roman"/>
                <w:b/>
                <w:bCs/>
                <w:szCs w:val="18"/>
                <w:lang w:eastAsia="cs-CZ"/>
              </w:rPr>
              <w:t>jednu</w:t>
            </w:r>
            <w:r w:rsidRPr="00C70708">
              <w:rPr>
                <w:rFonts w:eastAsia="Times New Roman" w:cs="Times New Roman"/>
                <w:szCs w:val="18"/>
                <w:lang w:eastAsia="cs-CZ"/>
              </w:rPr>
              <w:t xml:space="preserve"> referenční službu v oblasti finančního a/nebo ekonomického poradenství u </w:t>
            </w:r>
            <w:r w:rsidR="006A26EE" w:rsidRPr="006A26EE">
              <w:rPr>
                <w:rFonts w:eastAsia="Calibri" w:cs="Times New Roman"/>
                <w:szCs w:val="18"/>
              </w:rPr>
              <w:t xml:space="preserve">PPP projektu </w:t>
            </w:r>
            <w:r w:rsidRPr="00C70708">
              <w:rPr>
                <w:rFonts w:eastAsia="Calibri" w:cs="Times New Roman"/>
                <w:szCs w:val="18"/>
              </w:rPr>
              <w:t xml:space="preserve"> </w:t>
            </w:r>
            <w:r w:rsidRPr="00C70708">
              <w:rPr>
                <w:rFonts w:eastAsia="Times New Roman" w:cs="Times New Roman"/>
                <w:szCs w:val="18"/>
                <w:lang w:eastAsia="cs-CZ"/>
              </w:rPr>
              <w:t>s celkovými investičními náklady (</w:t>
            </w:r>
            <w:r w:rsidRPr="00C70708">
              <w:rPr>
                <w:rFonts w:eastAsia="Times New Roman" w:cs="Times New Roman"/>
                <w:b/>
                <w:bCs/>
                <w:szCs w:val="18"/>
                <w:lang w:eastAsia="cs-CZ"/>
              </w:rPr>
              <w:t>CAPEX</w:t>
            </w:r>
            <w:r w:rsidRPr="00C70708">
              <w:rPr>
                <w:rFonts w:eastAsia="Times New Roman" w:cs="Times New Roman"/>
                <w:szCs w:val="18"/>
                <w:lang w:eastAsia="cs-CZ"/>
              </w:rPr>
              <w:t xml:space="preserve">) ve výši minimálně </w:t>
            </w:r>
            <w:r w:rsidRPr="00C70708">
              <w:rPr>
                <w:rFonts w:eastAsia="Times New Roman" w:cs="Times New Roman"/>
                <w:b/>
                <w:bCs/>
                <w:szCs w:val="18"/>
                <w:lang w:eastAsia="cs-CZ"/>
              </w:rPr>
              <w:t>10 mld. Kč</w:t>
            </w:r>
            <w:r w:rsidRPr="00C70708">
              <w:rPr>
                <w:rFonts w:eastAsia="Times New Roman" w:cs="Times New Roman"/>
                <w:szCs w:val="18"/>
                <w:lang w:eastAsia="cs-CZ"/>
              </w:rPr>
              <w:t>, u něhož tato osoba vykonávala funkci klíčového specialisty týmu poskytujícího finanční či ekonomické poradenství alespoň po většinu doby trvání projektu</w:t>
            </w:r>
            <w:r w:rsidR="00046BF5">
              <w:rPr>
                <w:rFonts w:eastAsia="Times New Roman" w:cs="Times New Roman"/>
                <w:szCs w:val="18"/>
                <w:lang w:eastAsia="cs-CZ"/>
              </w:rPr>
              <w:t xml:space="preserve"> </w:t>
            </w:r>
            <w:r w:rsidR="00046BF5" w:rsidRPr="00046BF5">
              <w:rPr>
                <w:rFonts w:eastAsia="Times New Roman" w:cs="Times New Roman"/>
                <w:szCs w:val="18"/>
                <w:lang w:eastAsia="cs-CZ"/>
              </w:rPr>
              <w:t xml:space="preserve">přičemž je dostačující, pokud poradenství bylo poskytováno v rámci projektu, který měl/má být formou PPP realizován, tj. poradenství bylo poskytováno v rámci ověřování či přípravy takového projektu, aniž by bylo rozhodné, zda tento projekt dosáhl Smluvního či Finančního uzavření, tj. zda projekt byl nebo nebyl realizován, přičemž požadováno je, aby se jednalo o </w:t>
            </w:r>
            <w:r w:rsidR="00046BF5" w:rsidRPr="00046BF5">
              <w:rPr>
                <w:rFonts w:eastAsia="Times New Roman" w:cs="Times New Roman"/>
                <w:szCs w:val="18"/>
                <w:lang w:eastAsia="cs-CZ"/>
              </w:rPr>
              <w:lastRenderedPageBreak/>
              <w:t>poradenství, na základě jehož výsledku bylo rozhodnuto alespoň o zahájení realizace zadávacího řízení na soukromého partnera či o poradenství v rámci samotného zadávacího řízení na soukromého partnera</w:t>
            </w:r>
            <w:r w:rsidRPr="00C70708">
              <w:rPr>
                <w:rFonts w:eastAsia="Times New Roman" w:cs="Times New Roman"/>
                <w:szCs w:val="18"/>
                <w:lang w:eastAsia="cs-CZ"/>
              </w:rPr>
              <w:t>;</w:t>
            </w:r>
          </w:p>
          <w:p w14:paraId="42AC8529" w14:textId="1A286C73" w:rsidR="008C39D7" w:rsidRPr="003F361B" w:rsidRDefault="00C70708" w:rsidP="00C93D25">
            <w:pPr>
              <w:pStyle w:val="Odstavecseseznamem"/>
              <w:widowControl w:val="0"/>
              <w:numPr>
                <w:ilvl w:val="1"/>
                <w:numId w:val="20"/>
              </w:numPr>
              <w:spacing w:before="0" w:after="0" w:line="240" w:lineRule="auto"/>
              <w:ind w:left="329"/>
              <w:jc w:val="both"/>
              <w:rPr>
                <w:rFonts w:eastAsia="Calibri" w:cs="Times New Roman"/>
                <w:szCs w:val="18"/>
              </w:rPr>
            </w:pPr>
            <w:r w:rsidRPr="003F361B">
              <w:rPr>
                <w:rFonts w:eastAsia="Times New Roman" w:cs="Times New Roman"/>
                <w:szCs w:val="18"/>
                <w:lang w:eastAsia="cs-CZ"/>
              </w:rPr>
              <w:t xml:space="preserve">Schopnost odborné komunikace v českém (nebo slovenském) jazyce a </w:t>
            </w:r>
            <w:r w:rsidR="00C4157E">
              <w:rPr>
                <w:rFonts w:eastAsia="Times New Roman" w:cs="Times New Roman"/>
                <w:szCs w:val="18"/>
                <w:lang w:eastAsia="cs-CZ"/>
              </w:rPr>
              <w:t xml:space="preserve">v </w:t>
            </w:r>
            <w:r w:rsidRPr="003F361B">
              <w:rPr>
                <w:rFonts w:eastAsia="Times New Roman" w:cs="Times New Roman"/>
                <w:szCs w:val="18"/>
                <w:lang w:eastAsia="cs-CZ"/>
              </w:rPr>
              <w:t>anglickém jazyce, přičemž zadavatel umožňuje splnění této zadávací podmínky také stálou účastí tlumočníka, a to na náklady dodavatele.</w:t>
            </w:r>
          </w:p>
        </w:tc>
        <w:tc>
          <w:tcPr>
            <w:tcW w:w="2313" w:type="dxa"/>
            <w:shd w:val="clear" w:color="auto" w:fill="F2F2F2" w:themeFill="background1" w:themeFillShade="F2"/>
          </w:tcPr>
          <w:p w14:paraId="6F7D405F" w14:textId="53E86B92" w:rsidR="008C39D7" w:rsidRPr="008C39D7" w:rsidRDefault="008C39D7" w:rsidP="008C39D7">
            <w:pPr>
              <w:ind w:left="0"/>
              <w:rPr>
                <w:rFonts w:eastAsia="Calibri" w:cs="Times New Roman"/>
                <w:szCs w:val="18"/>
              </w:rPr>
            </w:pPr>
            <w:r w:rsidRPr="008C39D7">
              <w:rPr>
                <w:rFonts w:eastAsia="Calibri" w:cs="Times New Roman"/>
                <w:b/>
                <w:bCs/>
                <w:szCs w:val="18"/>
              </w:rPr>
              <w:lastRenderedPageBreak/>
              <w:t>Čestné prohlášení o členech týmu</w:t>
            </w:r>
            <w:r w:rsidRPr="008C39D7">
              <w:rPr>
                <w:rFonts w:eastAsia="Calibri" w:cs="Times New Roman"/>
                <w:szCs w:val="18"/>
              </w:rPr>
              <w:t xml:space="preserve"> </w:t>
            </w:r>
            <w:r w:rsidRPr="00AB61B6">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AB61B6">
              <w:rPr>
                <w:rFonts w:eastAsia="Calibri" w:cs="Times New Roman"/>
                <w:szCs w:val="18"/>
              </w:rPr>
              <w:t>).</w:t>
            </w:r>
          </w:p>
          <w:p w14:paraId="331B6B7B"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0E4AC8D6" w14:textId="77777777" w:rsidTr="00646BC3">
        <w:trPr>
          <w:trHeight w:val="340"/>
        </w:trPr>
        <w:tc>
          <w:tcPr>
            <w:tcW w:w="284" w:type="dxa"/>
            <w:vAlign w:val="center"/>
          </w:tcPr>
          <w:p w14:paraId="4DC55093"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i)</w:t>
            </w:r>
          </w:p>
        </w:tc>
        <w:tc>
          <w:tcPr>
            <w:tcW w:w="4916" w:type="dxa"/>
            <w:vAlign w:val="center"/>
          </w:tcPr>
          <w:p w14:paraId="25B0FE6E"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T1 – vedoucí týmu technického poradenství pro PPP</w:t>
            </w:r>
            <w:r w:rsidRPr="008C39D7">
              <w:rPr>
                <w:rFonts w:eastAsia="Calibri" w:cs="Times New Roman"/>
                <w:bCs/>
                <w:szCs w:val="18"/>
              </w:rPr>
              <w:t xml:space="preserve"> (1 osoba)</w:t>
            </w:r>
          </w:p>
          <w:p w14:paraId="121D9270"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2EE2DE15" w14:textId="77777777" w:rsidR="00E47771" w:rsidRPr="003F361B" w:rsidRDefault="00E47771"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minimálně</w:t>
            </w:r>
            <w:r w:rsidRPr="003F361B">
              <w:rPr>
                <w:rFonts w:ascii="Calibri" w:eastAsia="Times New Roman" w:hAnsi="Calibri" w:cs="Times New Roman"/>
                <w:sz w:val="22"/>
                <w:szCs w:val="21"/>
              </w:rPr>
              <w:t xml:space="preserve"> bakalářské vysokoškolské vzdělání dopravního nebo stavebně-technického směru;</w:t>
            </w:r>
          </w:p>
          <w:p w14:paraId="2D294EFA" w14:textId="77777777" w:rsidR="00E47771" w:rsidRPr="003F361B" w:rsidRDefault="00E47771"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 xml:space="preserve">nejméně </w:t>
            </w:r>
            <w:r w:rsidRPr="003F361B">
              <w:rPr>
                <w:rFonts w:ascii="Calibri" w:eastAsia="Times New Roman" w:hAnsi="Calibri" w:cs="Times New Roman"/>
                <w:b/>
                <w:bCs/>
                <w:sz w:val="22"/>
                <w:szCs w:val="21"/>
              </w:rPr>
              <w:t xml:space="preserve">10 let </w:t>
            </w:r>
            <w:r w:rsidRPr="003F361B">
              <w:rPr>
                <w:rFonts w:ascii="Calibri" w:eastAsia="Times New Roman" w:hAnsi="Calibri" w:cs="Times New Roman"/>
                <w:sz w:val="22"/>
                <w:szCs w:val="21"/>
              </w:rPr>
              <w:t xml:space="preserve">profesní praxe v oblasti přípravy </w:t>
            </w:r>
            <w:r w:rsidRPr="003F361B">
              <w:rPr>
                <w:rFonts w:ascii="Calibri" w:eastAsia="Calibri" w:hAnsi="Calibri" w:cs="Times New Roman"/>
                <w:sz w:val="22"/>
                <w:szCs w:val="21"/>
              </w:rPr>
              <w:t>výstavby</w:t>
            </w:r>
            <w:r w:rsidRPr="003F361B">
              <w:rPr>
                <w:rFonts w:ascii="Calibri" w:eastAsia="Times New Roman" w:hAnsi="Calibri" w:cs="Times New Roman"/>
                <w:sz w:val="22"/>
                <w:szCs w:val="21"/>
              </w:rPr>
              <w:t xml:space="preserve">, či výstavby či provozování </w:t>
            </w:r>
            <w:r w:rsidRPr="003F361B">
              <w:rPr>
                <w:rFonts w:ascii="Calibri" w:eastAsia="Times New Roman" w:hAnsi="Calibri" w:cs="Times New Roman"/>
                <w:b/>
                <w:bCs/>
                <w:sz w:val="22"/>
                <w:szCs w:val="21"/>
              </w:rPr>
              <w:t>stavby dráhy</w:t>
            </w:r>
            <w:r w:rsidRPr="003F361B">
              <w:rPr>
                <w:rFonts w:ascii="Calibri" w:eastAsia="Times New Roman" w:hAnsi="Calibri" w:cs="Times New Roman"/>
                <w:sz w:val="22"/>
                <w:szCs w:val="21"/>
              </w:rPr>
              <w:t xml:space="preserve">, z čehož minimálně </w:t>
            </w:r>
            <w:r w:rsidRPr="003F361B">
              <w:rPr>
                <w:rFonts w:ascii="Calibri" w:eastAsia="Times New Roman" w:hAnsi="Calibri" w:cs="Times New Roman"/>
                <w:b/>
                <w:bCs/>
                <w:sz w:val="22"/>
                <w:szCs w:val="21"/>
              </w:rPr>
              <w:t>5 let</w:t>
            </w:r>
            <w:r w:rsidRPr="003F361B">
              <w:rPr>
                <w:rFonts w:ascii="Calibri" w:eastAsia="Times New Roman" w:hAnsi="Calibri" w:cs="Times New Roman"/>
                <w:sz w:val="22"/>
                <w:szCs w:val="21"/>
              </w:rPr>
              <w:t xml:space="preserve"> profesní praxe v poskytování technického poradenství v oblasti PPP projektů;</w:t>
            </w:r>
          </w:p>
          <w:p w14:paraId="7B2FDE27" w14:textId="77777777" w:rsidR="00E47771" w:rsidRPr="003F361B" w:rsidRDefault="00E47771"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 xml:space="preserve">Alespoň </w:t>
            </w:r>
            <w:r w:rsidRPr="003F361B">
              <w:rPr>
                <w:rFonts w:ascii="Calibri" w:eastAsia="Calibri" w:hAnsi="Calibri" w:cs="Times New Roman"/>
                <w:b/>
                <w:bCs/>
                <w:sz w:val="22"/>
                <w:szCs w:val="21"/>
              </w:rPr>
              <w:t>dva PPP projekty</w:t>
            </w:r>
            <w:r w:rsidRPr="003F361B">
              <w:rPr>
                <w:rFonts w:ascii="Calibri" w:eastAsia="Calibri" w:hAnsi="Calibri" w:cs="Times New Roman"/>
                <w:sz w:val="22"/>
                <w:szCs w:val="21"/>
              </w:rPr>
              <w:t xml:space="preserve">, k nimž bylo technické poradenství touto osobou poskytováno, musí být Smluvně uzavřené, u nichž tato osoba vykonávala funkci klíčového specialisty týmu poskytujícího technické poradenství </w:t>
            </w:r>
            <w:r w:rsidRPr="003F361B">
              <w:rPr>
                <w:rFonts w:ascii="Calibri" w:eastAsia="Calibri" w:hAnsi="Calibri" w:cs="Times New Roman"/>
                <w:b/>
                <w:sz w:val="22"/>
                <w:szCs w:val="21"/>
              </w:rPr>
              <w:t>po celou dobu trvání</w:t>
            </w:r>
            <w:r w:rsidRPr="003F361B">
              <w:rPr>
                <w:rFonts w:ascii="Calibri" w:eastAsia="Calibri" w:hAnsi="Calibri" w:cs="Times New Roman"/>
                <w:sz w:val="22"/>
                <w:szCs w:val="21"/>
              </w:rPr>
              <w:t xml:space="preserve"> projektu, počítaje ode dne zahájení zadávacího řízení na danou veřejnou zakázku;</w:t>
            </w:r>
          </w:p>
          <w:p w14:paraId="2FC6D2F0" w14:textId="12344B0D" w:rsidR="008C39D7" w:rsidRPr="003F361B" w:rsidRDefault="00E47771"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Schopnost odborné komunikace v anglickém jazyce, přičemž zadavatel umožňuje splnění této zadávací podmínky také stálou účastí tlumočníka, a to na náklady dodavatele.</w:t>
            </w:r>
          </w:p>
        </w:tc>
        <w:tc>
          <w:tcPr>
            <w:tcW w:w="2313" w:type="dxa"/>
          </w:tcPr>
          <w:p w14:paraId="7997127B" w14:textId="06EC351D" w:rsidR="008C39D7" w:rsidRPr="008C39D7" w:rsidRDefault="008C39D7" w:rsidP="008C39D7">
            <w:pPr>
              <w:ind w:left="0"/>
              <w:rPr>
                <w:rFonts w:eastAsia="Calibri" w:cs="Times New Roman"/>
                <w:szCs w:val="18"/>
              </w:rPr>
            </w:pPr>
            <w:r w:rsidRPr="008C39D7">
              <w:rPr>
                <w:rFonts w:eastAsia="Calibri" w:cs="Times New Roman"/>
                <w:b/>
                <w:bCs/>
                <w:szCs w:val="18"/>
              </w:rPr>
              <w:t>Čestné prohlášení o členech týmu</w:t>
            </w:r>
            <w:r w:rsidRPr="008C39D7">
              <w:rPr>
                <w:rFonts w:eastAsia="Calibri" w:cs="Times New Roman"/>
                <w:szCs w:val="18"/>
              </w:rPr>
              <w:t xml:space="preserve"> </w:t>
            </w:r>
            <w:r w:rsidRPr="0077296A">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r w:rsidRPr="0077296A">
              <w:rPr>
                <w:rFonts w:eastAsia="Calibri" w:cs="Times New Roman"/>
                <w:szCs w:val="18"/>
              </w:rPr>
              <w:t>.</w:t>
            </w:r>
          </w:p>
          <w:p w14:paraId="33ACFBF6"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5DB7BB2A" w14:textId="77777777" w:rsidTr="00646BC3">
        <w:trPr>
          <w:trHeight w:val="340"/>
        </w:trPr>
        <w:tc>
          <w:tcPr>
            <w:tcW w:w="284" w:type="dxa"/>
            <w:shd w:val="clear" w:color="auto" w:fill="F2F2F2" w:themeFill="background1" w:themeFillShade="F2"/>
            <w:vAlign w:val="center"/>
          </w:tcPr>
          <w:p w14:paraId="6607839F"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j)</w:t>
            </w:r>
          </w:p>
        </w:tc>
        <w:tc>
          <w:tcPr>
            <w:tcW w:w="4916" w:type="dxa"/>
            <w:shd w:val="clear" w:color="auto" w:fill="F2F2F2" w:themeFill="background1" w:themeFillShade="F2"/>
            <w:vAlign w:val="center"/>
          </w:tcPr>
          <w:p w14:paraId="49514859"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T2 – technický poradce v oblasti PPP</w:t>
            </w:r>
            <w:r w:rsidRPr="008C39D7">
              <w:rPr>
                <w:rFonts w:eastAsia="Calibri" w:cs="Times New Roman"/>
                <w:bCs/>
                <w:szCs w:val="18"/>
              </w:rPr>
              <w:t xml:space="preserve"> (1 osoba)</w:t>
            </w:r>
          </w:p>
          <w:p w14:paraId="4E515326"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10ECCA91" w14:textId="77777777" w:rsidR="00405CF8" w:rsidRPr="003F361B" w:rsidRDefault="00405CF8"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minimálně bakalářské vysokoškolské vzdělání dopravního nebo stavebně-technického směru;</w:t>
            </w:r>
          </w:p>
          <w:p w14:paraId="00D35083" w14:textId="6803302E" w:rsidR="00405CF8" w:rsidRPr="003F361B" w:rsidRDefault="00405CF8"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 xml:space="preserve">nejméně </w:t>
            </w:r>
            <w:r w:rsidRPr="003F361B">
              <w:rPr>
                <w:rFonts w:ascii="Calibri" w:eastAsia="Times New Roman" w:hAnsi="Calibri" w:cs="Times New Roman"/>
                <w:b/>
                <w:bCs/>
                <w:sz w:val="22"/>
                <w:szCs w:val="21"/>
              </w:rPr>
              <w:t xml:space="preserve">8 let </w:t>
            </w:r>
            <w:r w:rsidRPr="003F361B">
              <w:rPr>
                <w:rFonts w:ascii="Calibri" w:eastAsia="Times New Roman" w:hAnsi="Calibri" w:cs="Times New Roman"/>
                <w:sz w:val="22"/>
                <w:szCs w:val="21"/>
              </w:rPr>
              <w:t xml:space="preserve">profesní praxe v oblasti přípravy výstavby, či výstavby či provozování </w:t>
            </w:r>
            <w:r w:rsidRPr="003F361B">
              <w:rPr>
                <w:rFonts w:ascii="Calibri" w:eastAsia="Times New Roman" w:hAnsi="Calibri" w:cs="Times New Roman"/>
                <w:b/>
                <w:bCs/>
                <w:sz w:val="22"/>
                <w:szCs w:val="21"/>
              </w:rPr>
              <w:t>stavby dráhy</w:t>
            </w:r>
            <w:r w:rsidRPr="003F361B">
              <w:rPr>
                <w:rFonts w:ascii="Calibri" w:eastAsia="Times New Roman" w:hAnsi="Calibri" w:cs="Times New Roman"/>
                <w:sz w:val="22"/>
                <w:szCs w:val="21"/>
              </w:rPr>
              <w:t xml:space="preserve">, z čehož minimálně </w:t>
            </w:r>
            <w:r w:rsidRPr="003F361B">
              <w:rPr>
                <w:rFonts w:ascii="Calibri" w:eastAsia="Times New Roman" w:hAnsi="Calibri" w:cs="Times New Roman"/>
                <w:b/>
                <w:bCs/>
                <w:sz w:val="22"/>
                <w:szCs w:val="21"/>
              </w:rPr>
              <w:t>4 roky</w:t>
            </w:r>
            <w:r w:rsidRPr="003F361B">
              <w:rPr>
                <w:rFonts w:ascii="Calibri" w:eastAsia="Times New Roman" w:hAnsi="Calibri" w:cs="Times New Roman"/>
                <w:sz w:val="22"/>
                <w:szCs w:val="21"/>
              </w:rPr>
              <w:t xml:space="preserve"> profesní praxe v poskytování technického poradenství v oblasti </w:t>
            </w:r>
            <w:r w:rsidRPr="00E526D3">
              <w:rPr>
                <w:rFonts w:ascii="Calibri" w:eastAsia="Times New Roman" w:hAnsi="Calibri" w:cs="Times New Roman"/>
                <w:b/>
                <w:bCs/>
                <w:sz w:val="22"/>
                <w:szCs w:val="21"/>
              </w:rPr>
              <w:t>PPP projektů</w:t>
            </w:r>
            <w:r w:rsidR="001B01C4" w:rsidRPr="00E526D3">
              <w:rPr>
                <w:rFonts w:ascii="Calibri" w:eastAsia="Times New Roman" w:hAnsi="Calibri" w:cs="Times New Roman"/>
                <w:b/>
                <w:bCs/>
                <w:sz w:val="22"/>
                <w:szCs w:val="21"/>
              </w:rPr>
              <w:t xml:space="preserve"> staveb dráhy</w:t>
            </w:r>
            <w:r w:rsidRPr="003F361B">
              <w:rPr>
                <w:rFonts w:ascii="Calibri" w:eastAsia="Times New Roman" w:hAnsi="Calibri" w:cs="Times New Roman"/>
                <w:sz w:val="22"/>
                <w:szCs w:val="21"/>
              </w:rPr>
              <w:t>;</w:t>
            </w:r>
          </w:p>
          <w:p w14:paraId="369105F1" w14:textId="77777777" w:rsidR="00405CF8" w:rsidRPr="003F361B" w:rsidRDefault="00405CF8"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lastRenderedPageBreak/>
              <w:t xml:space="preserve">Alespoň </w:t>
            </w:r>
            <w:r w:rsidRPr="003F361B">
              <w:rPr>
                <w:rFonts w:ascii="Calibri" w:eastAsia="Calibri" w:hAnsi="Calibri" w:cs="Times New Roman"/>
                <w:b/>
                <w:bCs/>
                <w:sz w:val="22"/>
                <w:szCs w:val="21"/>
              </w:rPr>
              <w:t>dva PPP projekty</w:t>
            </w:r>
            <w:r w:rsidRPr="003F361B">
              <w:rPr>
                <w:rFonts w:ascii="Calibri" w:eastAsia="Calibri" w:hAnsi="Calibri" w:cs="Times New Roman"/>
                <w:sz w:val="22"/>
                <w:szCs w:val="21"/>
              </w:rPr>
              <w:t xml:space="preserve">, k nimž bylo technické poradenství touto osobou poskytováno, musí být Smluvně uzavřené, u nichž tato osoba vykonávala funkci klíčového specialisty týmu poskytujícího technické poradenství </w:t>
            </w:r>
            <w:r w:rsidRPr="003F361B">
              <w:rPr>
                <w:rFonts w:ascii="Calibri" w:eastAsia="Calibri" w:hAnsi="Calibri" w:cs="Times New Roman"/>
                <w:b/>
                <w:bCs/>
                <w:sz w:val="22"/>
                <w:szCs w:val="21"/>
              </w:rPr>
              <w:t>po celou dobu trvání projektu</w:t>
            </w:r>
            <w:r w:rsidRPr="003F361B">
              <w:rPr>
                <w:rFonts w:ascii="Calibri" w:eastAsia="Calibri" w:hAnsi="Calibri" w:cs="Times New Roman"/>
                <w:sz w:val="22"/>
                <w:szCs w:val="21"/>
              </w:rPr>
              <w:t>, počítaje ode dne zahájení zadávacího řízení na danou veřejnou zakázku;</w:t>
            </w:r>
          </w:p>
          <w:p w14:paraId="4A9EA0E6" w14:textId="2E84C547" w:rsidR="008C39D7" w:rsidRPr="003F361B" w:rsidRDefault="00405CF8"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Schopnost odborné komunikace v anglickém jazyce, přičemž zadavatel umožňuje splnění této zadávací podmínky také stálou účastí tlumočníka, a to na náklady dodavatele.</w:t>
            </w:r>
          </w:p>
        </w:tc>
        <w:tc>
          <w:tcPr>
            <w:tcW w:w="2313" w:type="dxa"/>
            <w:shd w:val="clear" w:color="auto" w:fill="F2F2F2" w:themeFill="background1" w:themeFillShade="F2"/>
          </w:tcPr>
          <w:p w14:paraId="428F6302" w14:textId="7C2A7EFA" w:rsidR="008C39D7" w:rsidRPr="008C39D7" w:rsidRDefault="008C39D7" w:rsidP="008C39D7">
            <w:pPr>
              <w:ind w:left="0"/>
              <w:rPr>
                <w:rFonts w:eastAsia="Calibri" w:cs="Times New Roman"/>
                <w:szCs w:val="18"/>
              </w:rPr>
            </w:pPr>
            <w:r w:rsidRPr="008C39D7">
              <w:rPr>
                <w:rFonts w:eastAsia="Calibri" w:cs="Times New Roman"/>
                <w:b/>
                <w:bCs/>
                <w:szCs w:val="18"/>
              </w:rPr>
              <w:lastRenderedPageBreak/>
              <w:t>Čestné prohlášení o členech týmu</w:t>
            </w:r>
            <w:r w:rsidRPr="008C39D7">
              <w:rPr>
                <w:rFonts w:eastAsia="Calibri" w:cs="Times New Roman"/>
                <w:szCs w:val="18"/>
              </w:rPr>
              <w:t xml:space="preserve"> </w:t>
            </w:r>
            <w:r w:rsidRPr="0077296A">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r w:rsidRPr="0077296A">
              <w:rPr>
                <w:rFonts w:eastAsia="Calibri" w:cs="Times New Roman"/>
                <w:szCs w:val="18"/>
              </w:rPr>
              <w:t>.</w:t>
            </w:r>
          </w:p>
          <w:p w14:paraId="11D61A32"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38BBCD03" w14:textId="77777777" w:rsidTr="00646BC3">
        <w:trPr>
          <w:trHeight w:val="340"/>
        </w:trPr>
        <w:tc>
          <w:tcPr>
            <w:tcW w:w="284" w:type="dxa"/>
            <w:vAlign w:val="center"/>
          </w:tcPr>
          <w:p w14:paraId="6C9433A4"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t>k)</w:t>
            </w:r>
          </w:p>
        </w:tc>
        <w:tc>
          <w:tcPr>
            <w:tcW w:w="4916" w:type="dxa"/>
            <w:vAlign w:val="center"/>
          </w:tcPr>
          <w:p w14:paraId="0C8DFE50"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T3 – technický poradce v oblasti investorské přípravy staveb dopravní infrastruktury v ČR se znalostí BIM</w:t>
            </w:r>
            <w:r w:rsidRPr="008C39D7">
              <w:rPr>
                <w:rFonts w:eastAsia="Calibri" w:cs="Times New Roman"/>
                <w:bCs/>
                <w:szCs w:val="18"/>
              </w:rPr>
              <w:t xml:space="preserve"> (1 osoba)</w:t>
            </w:r>
          </w:p>
          <w:p w14:paraId="3E61ED8C"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72EF01A7" w14:textId="77777777" w:rsidR="00615E04" w:rsidRPr="003F361B" w:rsidRDefault="00615E04"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minimálně magisterské vysokoškolské vzdělání dopravního nebo stavebně – technického směru;</w:t>
            </w:r>
          </w:p>
          <w:p w14:paraId="06DF0A78" w14:textId="77777777" w:rsidR="00615E04" w:rsidRPr="003F361B" w:rsidRDefault="00615E04"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 xml:space="preserve">nejméně </w:t>
            </w:r>
            <w:r w:rsidRPr="003F361B">
              <w:rPr>
                <w:rFonts w:ascii="Calibri" w:eastAsia="Times New Roman" w:hAnsi="Calibri" w:cs="Times New Roman"/>
                <w:b/>
                <w:bCs/>
                <w:sz w:val="22"/>
                <w:szCs w:val="21"/>
              </w:rPr>
              <w:t xml:space="preserve">10 let </w:t>
            </w:r>
            <w:r w:rsidRPr="003F361B">
              <w:rPr>
                <w:rFonts w:ascii="Calibri" w:eastAsia="Times New Roman" w:hAnsi="Calibri" w:cs="Times New Roman"/>
                <w:sz w:val="22"/>
                <w:szCs w:val="21"/>
              </w:rPr>
              <w:t xml:space="preserve">profesní praxe v oblasti zajišťování investorské přípravy </w:t>
            </w:r>
            <w:r w:rsidRPr="003F361B">
              <w:rPr>
                <w:rFonts w:ascii="Calibri" w:eastAsia="Times New Roman" w:hAnsi="Calibri" w:cs="Times New Roman"/>
                <w:b/>
                <w:bCs/>
                <w:sz w:val="22"/>
                <w:szCs w:val="21"/>
              </w:rPr>
              <w:t>staveb dráhy</w:t>
            </w:r>
            <w:r w:rsidRPr="003F361B">
              <w:rPr>
                <w:rFonts w:ascii="Calibri" w:eastAsia="Times New Roman" w:hAnsi="Calibri" w:cs="Times New Roman"/>
                <w:sz w:val="22"/>
                <w:szCs w:val="21"/>
              </w:rPr>
              <w:t xml:space="preserve"> v ČR;</w:t>
            </w:r>
          </w:p>
          <w:p w14:paraId="55EC9631" w14:textId="77777777" w:rsidR="00615E04" w:rsidRPr="003F361B" w:rsidRDefault="00615E04"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 xml:space="preserve">profesní praxe v délce alespoň </w:t>
            </w:r>
            <w:r w:rsidRPr="003F361B">
              <w:rPr>
                <w:rFonts w:ascii="Calibri" w:eastAsia="Times New Roman" w:hAnsi="Calibri" w:cs="Times New Roman"/>
                <w:b/>
                <w:bCs/>
                <w:sz w:val="22"/>
                <w:szCs w:val="21"/>
              </w:rPr>
              <w:t>3 měsíců</w:t>
            </w:r>
            <w:r w:rsidRPr="003F361B">
              <w:rPr>
                <w:rFonts w:ascii="Calibri" w:eastAsia="Times New Roman" w:hAnsi="Calibri" w:cs="Times New Roman"/>
                <w:sz w:val="22"/>
                <w:szCs w:val="21"/>
              </w:rPr>
              <w:t xml:space="preserve"> v oblasti majetkoprávní přípravy staveb dopravní infrastruktury v ČR získaná v </w:t>
            </w:r>
            <w:r w:rsidRPr="003F361B">
              <w:rPr>
                <w:rFonts w:ascii="Calibri" w:eastAsia="Times New Roman" w:hAnsi="Calibri" w:cs="Times New Roman"/>
                <w:b/>
                <w:bCs/>
                <w:sz w:val="22"/>
                <w:szCs w:val="21"/>
              </w:rPr>
              <w:t>posledních 3 letech</w:t>
            </w:r>
            <w:r w:rsidRPr="003F361B">
              <w:rPr>
                <w:rFonts w:ascii="Calibri" w:eastAsia="Times New Roman" w:hAnsi="Calibri" w:cs="Times New Roman"/>
                <w:sz w:val="22"/>
                <w:szCs w:val="21"/>
              </w:rPr>
              <w:t>;</w:t>
            </w:r>
          </w:p>
          <w:p w14:paraId="50A17933" w14:textId="77777777" w:rsidR="00615E04" w:rsidRPr="003F361B" w:rsidRDefault="00615E04"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 xml:space="preserve">Alespoň </w:t>
            </w:r>
            <w:r w:rsidRPr="003F361B">
              <w:rPr>
                <w:rFonts w:ascii="Calibri" w:eastAsia="Calibri" w:hAnsi="Calibri" w:cs="Times New Roman"/>
                <w:b/>
                <w:bCs/>
                <w:sz w:val="22"/>
                <w:szCs w:val="21"/>
              </w:rPr>
              <w:t xml:space="preserve">jeden </w:t>
            </w:r>
            <w:r w:rsidRPr="00031619">
              <w:rPr>
                <w:rFonts w:ascii="Calibri" w:eastAsia="Calibri" w:hAnsi="Calibri" w:cs="Times New Roman"/>
                <w:sz w:val="22"/>
                <w:szCs w:val="21"/>
              </w:rPr>
              <w:t>projekt</w:t>
            </w:r>
            <w:r w:rsidRPr="003F361B">
              <w:rPr>
                <w:rFonts w:ascii="Calibri" w:eastAsia="Calibri" w:hAnsi="Calibri" w:cs="Times New Roman"/>
                <w:b/>
                <w:bCs/>
                <w:sz w:val="22"/>
                <w:szCs w:val="21"/>
              </w:rPr>
              <w:t>,</w:t>
            </w:r>
            <w:r w:rsidRPr="003F361B">
              <w:rPr>
                <w:rFonts w:ascii="Calibri" w:eastAsia="Calibri" w:hAnsi="Calibri" w:cs="Times New Roman"/>
                <w:sz w:val="22"/>
                <w:szCs w:val="21"/>
              </w:rPr>
              <w:t xml:space="preserve"> u něhož tato osoba vykonávala funkci klíčového specialisty týmu, musí být </w:t>
            </w:r>
            <w:r w:rsidRPr="003F361B">
              <w:rPr>
                <w:rFonts w:ascii="Calibri" w:eastAsia="Calibri" w:hAnsi="Calibri" w:cs="Times New Roman"/>
                <w:b/>
                <w:bCs/>
                <w:sz w:val="22"/>
                <w:szCs w:val="21"/>
              </w:rPr>
              <w:t>stavbou dráhy v ČR</w:t>
            </w:r>
            <w:r w:rsidRPr="003F361B">
              <w:rPr>
                <w:rFonts w:ascii="Calibri" w:eastAsia="Calibri" w:hAnsi="Calibri" w:cs="Times New Roman"/>
                <w:sz w:val="22"/>
                <w:szCs w:val="21"/>
              </w:rPr>
              <w:t>, u níž bylo stavební povolení pro trasu o délce alespoň 5 km získáno v posledních 3 letech;</w:t>
            </w:r>
          </w:p>
          <w:p w14:paraId="7ED051D0" w14:textId="77777777" w:rsidR="00615E04" w:rsidRPr="003F361B" w:rsidRDefault="00615E04"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 xml:space="preserve">Alespoň </w:t>
            </w:r>
            <w:r w:rsidRPr="003F361B">
              <w:rPr>
                <w:rFonts w:ascii="Calibri" w:eastAsia="Calibri" w:hAnsi="Calibri" w:cs="Times New Roman"/>
                <w:b/>
                <w:bCs/>
                <w:sz w:val="22"/>
                <w:szCs w:val="21"/>
              </w:rPr>
              <w:t xml:space="preserve">dva </w:t>
            </w:r>
            <w:r w:rsidRPr="00031619">
              <w:rPr>
                <w:rFonts w:ascii="Calibri" w:eastAsia="Calibri" w:hAnsi="Calibri" w:cs="Times New Roman"/>
                <w:sz w:val="22"/>
                <w:szCs w:val="21"/>
              </w:rPr>
              <w:t>projekty</w:t>
            </w:r>
            <w:r w:rsidRPr="003F361B">
              <w:rPr>
                <w:rFonts w:ascii="Calibri" w:eastAsia="Calibri" w:hAnsi="Calibri" w:cs="Times New Roman"/>
                <w:sz w:val="22"/>
                <w:szCs w:val="21"/>
              </w:rPr>
              <w:t>, u nichž tato osoba vykonávala funkci klíčového specialisty týmu, musí být stavbou dopravní infrastruktury v ČR, u níž došlo v průběhu přípravy či realizace k využití metody BIM, včetně využití datového standardu SFDI;</w:t>
            </w:r>
          </w:p>
          <w:p w14:paraId="37AC2930" w14:textId="257B1B3A" w:rsidR="008C39D7" w:rsidRPr="003F361B" w:rsidRDefault="00615E04"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Schopnost odborné komunikace v českém (nebo slovenském) jazyce a anglickém jazyce, přičemž zadavatel umožňuje splnění této zadávací podmínky také stálou účastí tlumočníka, a to na náklady dodavatele.</w:t>
            </w:r>
          </w:p>
        </w:tc>
        <w:tc>
          <w:tcPr>
            <w:tcW w:w="2313" w:type="dxa"/>
          </w:tcPr>
          <w:p w14:paraId="62B4EDF4" w14:textId="57BB85B3" w:rsidR="008C39D7" w:rsidRPr="008C39D7" w:rsidRDefault="008C39D7" w:rsidP="008C39D7">
            <w:pPr>
              <w:ind w:left="0"/>
              <w:rPr>
                <w:rFonts w:eastAsia="Calibri" w:cs="Times New Roman"/>
                <w:szCs w:val="18"/>
              </w:rPr>
            </w:pPr>
            <w:r w:rsidRPr="008C39D7">
              <w:rPr>
                <w:rFonts w:eastAsia="Calibri" w:cs="Times New Roman"/>
                <w:b/>
                <w:bCs/>
                <w:szCs w:val="18"/>
              </w:rPr>
              <w:t>Čestné prohlášení o členech týmu</w:t>
            </w:r>
            <w:r w:rsidRPr="008C39D7">
              <w:rPr>
                <w:rFonts w:eastAsia="Calibri" w:cs="Times New Roman"/>
                <w:szCs w:val="18"/>
              </w:rPr>
              <w:t xml:space="preserve"> </w:t>
            </w:r>
            <w:r w:rsidRPr="0077296A">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93603F">
              <w:rPr>
                <w:rFonts w:eastAsia="Calibri" w:cs="Times New Roman"/>
                <w:szCs w:val="18"/>
              </w:rPr>
              <w:t>)</w:t>
            </w:r>
            <w:r w:rsidRPr="0077296A">
              <w:rPr>
                <w:rFonts w:eastAsia="Calibri" w:cs="Times New Roman"/>
                <w:szCs w:val="18"/>
              </w:rPr>
              <w:t>.</w:t>
            </w:r>
          </w:p>
          <w:p w14:paraId="52198979"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r w:rsidR="008C39D7" w:rsidRPr="008C39D7" w14:paraId="5CCB9B8C" w14:textId="77777777" w:rsidTr="00646BC3">
        <w:trPr>
          <w:trHeight w:val="340"/>
        </w:trPr>
        <w:tc>
          <w:tcPr>
            <w:tcW w:w="284" w:type="dxa"/>
            <w:shd w:val="clear" w:color="auto" w:fill="F2F2F2" w:themeFill="background1" w:themeFillShade="F2"/>
            <w:vAlign w:val="center"/>
          </w:tcPr>
          <w:p w14:paraId="17B4AEB4" w14:textId="77777777" w:rsidR="008C39D7" w:rsidRPr="008C39D7" w:rsidRDefault="008C39D7" w:rsidP="008C39D7">
            <w:pPr>
              <w:spacing w:before="60" w:after="60"/>
              <w:ind w:left="0"/>
              <w:rPr>
                <w:rFonts w:eastAsia="Calibri" w:cs="Times New Roman"/>
                <w:szCs w:val="18"/>
              </w:rPr>
            </w:pPr>
            <w:r w:rsidRPr="008C39D7">
              <w:rPr>
                <w:rFonts w:eastAsia="Calibri" w:cs="Times New Roman"/>
                <w:szCs w:val="18"/>
              </w:rPr>
              <w:lastRenderedPageBreak/>
              <w:t>l)</w:t>
            </w:r>
          </w:p>
        </w:tc>
        <w:tc>
          <w:tcPr>
            <w:tcW w:w="4916" w:type="dxa"/>
            <w:shd w:val="clear" w:color="auto" w:fill="F2F2F2" w:themeFill="background1" w:themeFillShade="F2"/>
            <w:vAlign w:val="center"/>
          </w:tcPr>
          <w:p w14:paraId="099EF53A" w14:textId="77777777" w:rsidR="008C39D7" w:rsidRPr="008C39D7" w:rsidRDefault="008C39D7" w:rsidP="008C39D7">
            <w:pPr>
              <w:ind w:left="0"/>
              <w:jc w:val="both"/>
              <w:rPr>
                <w:rFonts w:eastAsia="Calibri" w:cs="Times New Roman"/>
                <w:bCs/>
                <w:szCs w:val="18"/>
              </w:rPr>
            </w:pPr>
            <w:r w:rsidRPr="008C39D7">
              <w:rPr>
                <w:rFonts w:eastAsia="Calibri" w:cs="Times New Roman"/>
                <w:b/>
                <w:szCs w:val="18"/>
                <w:u w:val="single"/>
              </w:rPr>
              <w:t>Člen týmu T4 – technický poradce v oblasti investorské přípravy staveb dopravní infrastruktury v ČR</w:t>
            </w:r>
            <w:r w:rsidRPr="008C39D7">
              <w:rPr>
                <w:rFonts w:eastAsia="Calibri" w:cs="Times New Roman"/>
                <w:bCs/>
                <w:szCs w:val="18"/>
              </w:rPr>
              <w:t xml:space="preserve"> (1 osoba)</w:t>
            </w:r>
          </w:p>
          <w:p w14:paraId="323270A3" w14:textId="77777777" w:rsidR="008C39D7" w:rsidRPr="008C39D7" w:rsidRDefault="008C39D7" w:rsidP="008C39D7">
            <w:pPr>
              <w:ind w:left="0"/>
              <w:jc w:val="both"/>
              <w:rPr>
                <w:rFonts w:eastAsia="Calibri" w:cs="Times New Roman"/>
                <w:szCs w:val="18"/>
              </w:rPr>
            </w:pPr>
            <w:r w:rsidRPr="008C39D7">
              <w:rPr>
                <w:rFonts w:eastAsia="Calibri" w:cs="Times New Roman"/>
                <w:szCs w:val="18"/>
              </w:rPr>
              <w:t>Zadavatel požaduje, aby tento člen týmu měl:</w:t>
            </w:r>
          </w:p>
          <w:p w14:paraId="209D0FC3" w14:textId="77777777" w:rsidR="005B16EC" w:rsidRPr="003F361B" w:rsidRDefault="005B16EC"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minimálně magisterské vysokoškolské vzdělání dopravního nebo stavebně – technického směru;</w:t>
            </w:r>
          </w:p>
          <w:p w14:paraId="33D0F4F5" w14:textId="77777777" w:rsidR="005B16EC" w:rsidRPr="003F361B" w:rsidRDefault="005B16EC"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 xml:space="preserve">nejméně </w:t>
            </w:r>
            <w:r w:rsidRPr="003F361B">
              <w:rPr>
                <w:rFonts w:ascii="Calibri" w:eastAsia="Times New Roman" w:hAnsi="Calibri" w:cs="Times New Roman"/>
                <w:b/>
                <w:bCs/>
                <w:sz w:val="22"/>
                <w:szCs w:val="21"/>
              </w:rPr>
              <w:t xml:space="preserve">10 let </w:t>
            </w:r>
            <w:r w:rsidRPr="003F361B">
              <w:rPr>
                <w:rFonts w:ascii="Calibri" w:eastAsia="Times New Roman" w:hAnsi="Calibri" w:cs="Times New Roman"/>
                <w:sz w:val="22"/>
                <w:szCs w:val="21"/>
              </w:rPr>
              <w:t xml:space="preserve">profesní praxe v oblasti zajišťování investorské přípravy </w:t>
            </w:r>
            <w:r w:rsidRPr="003F361B">
              <w:rPr>
                <w:rFonts w:ascii="Calibri" w:eastAsia="Times New Roman" w:hAnsi="Calibri" w:cs="Times New Roman"/>
                <w:b/>
                <w:bCs/>
                <w:sz w:val="22"/>
                <w:szCs w:val="21"/>
              </w:rPr>
              <w:t>staveb dráhy</w:t>
            </w:r>
            <w:r w:rsidRPr="003F361B">
              <w:rPr>
                <w:rFonts w:ascii="Calibri" w:eastAsia="Times New Roman" w:hAnsi="Calibri" w:cs="Times New Roman"/>
                <w:sz w:val="22"/>
                <w:szCs w:val="21"/>
              </w:rPr>
              <w:t xml:space="preserve"> v ČR;</w:t>
            </w:r>
          </w:p>
          <w:p w14:paraId="67F73CF9" w14:textId="77777777" w:rsidR="005B16EC" w:rsidRPr="003F361B" w:rsidRDefault="005B16EC"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Times New Roman" w:hAnsi="Calibri" w:cs="Times New Roman"/>
                <w:sz w:val="22"/>
                <w:szCs w:val="21"/>
              </w:rPr>
              <w:t xml:space="preserve">profesní praxe v délce alespoň </w:t>
            </w:r>
            <w:r w:rsidRPr="003F361B">
              <w:rPr>
                <w:rFonts w:ascii="Calibri" w:eastAsia="Times New Roman" w:hAnsi="Calibri" w:cs="Times New Roman"/>
                <w:b/>
                <w:bCs/>
                <w:sz w:val="22"/>
                <w:szCs w:val="21"/>
              </w:rPr>
              <w:t>3 měsíců</w:t>
            </w:r>
            <w:r w:rsidRPr="003F361B">
              <w:rPr>
                <w:rFonts w:ascii="Calibri" w:eastAsia="Times New Roman" w:hAnsi="Calibri" w:cs="Times New Roman"/>
                <w:sz w:val="22"/>
                <w:szCs w:val="21"/>
              </w:rPr>
              <w:t xml:space="preserve"> oblasti majetkoprávní přípravy staveb dopravní infrastruktury v ČR získaná v </w:t>
            </w:r>
            <w:r w:rsidRPr="003F361B">
              <w:rPr>
                <w:rFonts w:ascii="Calibri" w:eastAsia="Times New Roman" w:hAnsi="Calibri" w:cs="Times New Roman"/>
                <w:b/>
                <w:bCs/>
                <w:sz w:val="22"/>
                <w:szCs w:val="21"/>
              </w:rPr>
              <w:t>posledních 3 letech</w:t>
            </w:r>
            <w:r w:rsidRPr="003F361B">
              <w:rPr>
                <w:rFonts w:ascii="Calibri" w:eastAsia="Times New Roman" w:hAnsi="Calibri" w:cs="Times New Roman"/>
                <w:sz w:val="22"/>
                <w:szCs w:val="21"/>
              </w:rPr>
              <w:t>;</w:t>
            </w:r>
          </w:p>
          <w:p w14:paraId="5B6FB75E" w14:textId="77777777" w:rsidR="005B16EC" w:rsidRPr="003F361B" w:rsidRDefault="005B16EC"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 xml:space="preserve">Alespoň </w:t>
            </w:r>
            <w:r w:rsidRPr="003F361B">
              <w:rPr>
                <w:rFonts w:ascii="Calibri" w:eastAsia="Calibri" w:hAnsi="Calibri" w:cs="Times New Roman"/>
                <w:b/>
                <w:bCs/>
                <w:sz w:val="22"/>
                <w:szCs w:val="21"/>
              </w:rPr>
              <w:t xml:space="preserve">jeden </w:t>
            </w:r>
            <w:r w:rsidRPr="00993A4E">
              <w:rPr>
                <w:rFonts w:ascii="Calibri" w:eastAsia="Calibri" w:hAnsi="Calibri" w:cs="Times New Roman"/>
                <w:sz w:val="22"/>
                <w:szCs w:val="21"/>
              </w:rPr>
              <w:t>projekt</w:t>
            </w:r>
            <w:r w:rsidRPr="003F361B">
              <w:rPr>
                <w:rFonts w:ascii="Calibri" w:eastAsia="Calibri" w:hAnsi="Calibri" w:cs="Times New Roman"/>
                <w:b/>
                <w:bCs/>
                <w:sz w:val="22"/>
                <w:szCs w:val="21"/>
              </w:rPr>
              <w:t>,</w:t>
            </w:r>
            <w:r w:rsidRPr="003F361B">
              <w:rPr>
                <w:rFonts w:ascii="Calibri" w:eastAsia="Calibri" w:hAnsi="Calibri" w:cs="Times New Roman"/>
                <w:sz w:val="22"/>
                <w:szCs w:val="21"/>
              </w:rPr>
              <w:t xml:space="preserve"> u něhož tato osoba vykonávala funkci klíčového specialisty týmu, projekt musí být </w:t>
            </w:r>
            <w:r w:rsidRPr="003F361B">
              <w:rPr>
                <w:rFonts w:ascii="Calibri" w:eastAsia="Calibri" w:hAnsi="Calibri" w:cs="Times New Roman"/>
                <w:b/>
                <w:bCs/>
                <w:sz w:val="22"/>
                <w:szCs w:val="21"/>
              </w:rPr>
              <w:t>stavbou dráhy v ČR</w:t>
            </w:r>
            <w:r w:rsidRPr="003F361B">
              <w:rPr>
                <w:rFonts w:ascii="Calibri" w:eastAsia="Calibri" w:hAnsi="Calibri" w:cs="Times New Roman"/>
                <w:sz w:val="22"/>
                <w:szCs w:val="21"/>
              </w:rPr>
              <w:t>, u níž bylo stavební povolení pro trasu o délce alespoň 5 km získáno v posledních 3 letech;</w:t>
            </w:r>
          </w:p>
          <w:p w14:paraId="44DD75C4" w14:textId="2A175049" w:rsidR="008C39D7" w:rsidRPr="003F361B" w:rsidRDefault="005B16EC" w:rsidP="00C93D25">
            <w:pPr>
              <w:pStyle w:val="Odstavecseseznamem"/>
              <w:numPr>
                <w:ilvl w:val="1"/>
                <w:numId w:val="20"/>
              </w:numPr>
              <w:spacing w:before="0" w:line="264" w:lineRule="auto"/>
              <w:ind w:left="329"/>
              <w:jc w:val="both"/>
              <w:rPr>
                <w:rFonts w:ascii="Calibri" w:eastAsia="Times New Roman" w:hAnsi="Calibri" w:cs="Times New Roman"/>
                <w:sz w:val="22"/>
                <w:szCs w:val="21"/>
              </w:rPr>
            </w:pPr>
            <w:r w:rsidRPr="003F361B">
              <w:rPr>
                <w:rFonts w:ascii="Calibri" w:eastAsia="Calibri" w:hAnsi="Calibri" w:cs="Times New Roman"/>
                <w:sz w:val="22"/>
                <w:szCs w:val="21"/>
              </w:rPr>
              <w:t>Schopnost odborné komunikace v českém (nebo slovenském) jazyce a anglickém jazyce, přičemž zadavatel umožňuje splnění této zadávací podmínky také stálou účastí tlumočníka, a to na náklady dodavatele.</w:t>
            </w:r>
          </w:p>
        </w:tc>
        <w:tc>
          <w:tcPr>
            <w:tcW w:w="2313" w:type="dxa"/>
            <w:shd w:val="clear" w:color="auto" w:fill="F2F2F2" w:themeFill="background1" w:themeFillShade="F2"/>
          </w:tcPr>
          <w:p w14:paraId="7EFBC9C6" w14:textId="0523D808" w:rsidR="008C39D7" w:rsidRPr="008C39D7" w:rsidRDefault="008C39D7" w:rsidP="008C39D7">
            <w:pPr>
              <w:ind w:left="0"/>
              <w:rPr>
                <w:rFonts w:eastAsia="Calibri" w:cs="Times New Roman"/>
                <w:szCs w:val="18"/>
              </w:rPr>
            </w:pPr>
            <w:r w:rsidRPr="008C39D7">
              <w:rPr>
                <w:rFonts w:eastAsia="Calibri" w:cs="Times New Roman"/>
                <w:b/>
                <w:bCs/>
                <w:szCs w:val="18"/>
              </w:rPr>
              <w:t>Čestné prohlášení o členech týmu</w:t>
            </w:r>
            <w:r w:rsidRPr="008C39D7">
              <w:rPr>
                <w:rFonts w:eastAsia="Calibri" w:cs="Times New Roman"/>
                <w:szCs w:val="18"/>
              </w:rPr>
              <w:t xml:space="preserve"> </w:t>
            </w:r>
            <w:r w:rsidRPr="0077296A">
              <w:rPr>
                <w:rFonts w:eastAsia="Calibri" w:cs="Times New Roman"/>
                <w:szCs w:val="18"/>
              </w:rPr>
              <w:t>(</w:t>
            </w:r>
            <w:r w:rsidRPr="0093603F">
              <w:rPr>
                <w:rFonts w:eastAsia="Calibri" w:cs="Times New Roman"/>
                <w:szCs w:val="18"/>
              </w:rPr>
              <w:t>formulář </w:t>
            </w:r>
            <w:r w:rsidR="00BE0505" w:rsidRPr="0093603F">
              <w:rPr>
                <w:rFonts w:eastAsia="Calibri" w:cs="Times New Roman"/>
                <w:szCs w:val="18"/>
              </w:rPr>
              <w:t>č. 2.2.</w:t>
            </w:r>
            <w:r w:rsidRPr="0077296A">
              <w:rPr>
                <w:rFonts w:eastAsia="Calibri" w:cs="Times New Roman"/>
                <w:szCs w:val="18"/>
              </w:rPr>
              <w:t>).</w:t>
            </w:r>
          </w:p>
          <w:p w14:paraId="1C78AE83" w14:textId="77777777" w:rsidR="008C39D7" w:rsidRPr="008C39D7" w:rsidRDefault="008C39D7" w:rsidP="008C39D7">
            <w:pPr>
              <w:ind w:left="0"/>
              <w:rPr>
                <w:rFonts w:eastAsia="Calibri" w:cs="Times New Roman"/>
                <w:b/>
                <w:bCs/>
                <w:szCs w:val="18"/>
              </w:rPr>
            </w:pPr>
            <w:r w:rsidRPr="008C39D7">
              <w:rPr>
                <w:rFonts w:eastAsia="Calibri" w:cs="Times New Roman"/>
                <w:b/>
                <w:bCs/>
                <w:szCs w:val="18"/>
              </w:rPr>
              <w:t>Doklad o nejvýše dosaženém vzdělání</w:t>
            </w:r>
          </w:p>
        </w:tc>
      </w:tr>
    </w:tbl>
    <w:p w14:paraId="3915B108" w14:textId="45F61368" w:rsidR="00376897" w:rsidRDefault="00376897" w:rsidP="00646BC3">
      <w:pPr>
        <w:ind w:left="1276"/>
        <w:jc w:val="both"/>
        <w:rPr>
          <w:rFonts w:eastAsia="Calibri" w:cs="Times New Roman"/>
          <w:szCs w:val="18"/>
        </w:rPr>
      </w:pPr>
      <w:r w:rsidRPr="00376897">
        <w:rPr>
          <w:rFonts w:eastAsia="Calibri" w:cs="Times New Roman"/>
          <w:szCs w:val="18"/>
        </w:rPr>
        <w:t xml:space="preserve">U všech osob uvedených v bezprostředně předcházející tabulce budou doplněny ve </w:t>
      </w:r>
      <w:r w:rsidR="00BE0505" w:rsidRPr="0093603F">
        <w:rPr>
          <w:szCs w:val="18"/>
        </w:rPr>
        <w:t>formě formuláře č. 2.2., který tvoří součást přílohy č. 4 této zadávací dokumentace</w:t>
      </w:r>
      <w:r w:rsidRPr="0077296A">
        <w:rPr>
          <w:rFonts w:eastAsia="Calibri" w:cs="Times New Roman"/>
          <w:szCs w:val="18"/>
        </w:rPr>
        <w:t xml:space="preserve"> veškeré údaje nezbytné pro posouzení, zda dodavatel splňuje požadavek na kvalifikaci v celém rozsahu.</w:t>
      </w:r>
    </w:p>
    <w:p w14:paraId="7C4AD6B3" w14:textId="34E2681D" w:rsidR="0046354C" w:rsidRPr="00376897" w:rsidRDefault="0046354C" w:rsidP="00646BC3">
      <w:pPr>
        <w:ind w:left="1276"/>
        <w:jc w:val="both"/>
        <w:rPr>
          <w:rFonts w:eastAsia="Calibri" w:cs="Times New Roman"/>
          <w:szCs w:val="18"/>
        </w:rPr>
      </w:pPr>
      <w:r w:rsidRPr="0093603F">
        <w:rPr>
          <w:rFonts w:eastAsia="Calibri" w:cs="Times New Roman"/>
          <w:szCs w:val="18"/>
        </w:rPr>
        <w:t>Formulář č. 2.2.</w:t>
      </w:r>
      <w:r w:rsidRPr="0077296A">
        <w:rPr>
          <w:rFonts w:eastAsia="Calibri" w:cs="Times New Roman"/>
          <w:szCs w:val="18"/>
        </w:rPr>
        <w:t xml:space="preserve"> bude zároveň obsahovat </w:t>
      </w:r>
      <w:r w:rsidRPr="0077296A">
        <w:rPr>
          <w:rFonts w:eastAsia="Calibri" w:cs="Times New Roman"/>
          <w:b/>
          <w:bCs/>
          <w:szCs w:val="18"/>
        </w:rPr>
        <w:t xml:space="preserve">závazek, že uvedení členové týmu se </w:t>
      </w:r>
      <w:r w:rsidR="00F67A4A" w:rsidRPr="0077296A">
        <w:rPr>
          <w:rFonts w:eastAsia="Calibri" w:cs="Times New Roman"/>
          <w:b/>
          <w:bCs/>
          <w:szCs w:val="18"/>
        </w:rPr>
        <w:t xml:space="preserve">budou </w:t>
      </w:r>
      <w:r w:rsidRPr="0077296A">
        <w:rPr>
          <w:rFonts w:eastAsia="Calibri" w:cs="Times New Roman"/>
          <w:b/>
          <w:bCs/>
          <w:szCs w:val="18"/>
        </w:rPr>
        <w:t>osobně podílet na poskytování požadovaných služeb</w:t>
      </w:r>
      <w:r w:rsidRPr="0077296A">
        <w:rPr>
          <w:rFonts w:eastAsia="Calibri" w:cs="Times New Roman"/>
          <w:szCs w:val="18"/>
        </w:rPr>
        <w:t xml:space="preserve"> a prohlášení o neexistenci střetu zájmů členů týmů ve smyslu příslušných ustanovení </w:t>
      </w:r>
      <w:r w:rsidRPr="00252D1C">
        <w:rPr>
          <w:rFonts w:eastAsia="Calibri" w:cs="Times New Roman"/>
          <w:szCs w:val="18"/>
        </w:rPr>
        <w:t>Smlouvy.</w:t>
      </w:r>
    </w:p>
    <w:p w14:paraId="10355268" w14:textId="77777777" w:rsidR="00376897" w:rsidRPr="00376897" w:rsidRDefault="00376897" w:rsidP="00646BC3">
      <w:pPr>
        <w:widowControl w:val="0"/>
        <w:spacing w:before="0" w:line="288" w:lineRule="auto"/>
        <w:ind w:left="1276"/>
        <w:jc w:val="both"/>
        <w:rPr>
          <w:rFonts w:eastAsia="Calibri" w:cs="Times New Roman"/>
          <w:bCs/>
          <w:szCs w:val="18"/>
        </w:rPr>
      </w:pPr>
      <w:r w:rsidRPr="00376897">
        <w:rPr>
          <w:rFonts w:eastAsia="Calibri" w:cs="Times New Roman"/>
          <w:szCs w:val="18"/>
        </w:rPr>
        <w:t xml:space="preserve">Pro vyvrácení jakýchkoliv pochybností zadavatel uvádí, že jedna osoba může zastávat </w:t>
      </w:r>
      <w:r w:rsidRPr="00376897">
        <w:rPr>
          <w:rFonts w:eastAsia="Calibri" w:cs="Times New Roman"/>
          <w:b/>
          <w:bCs/>
          <w:szCs w:val="18"/>
          <w:u w:val="single"/>
        </w:rPr>
        <w:t>maximálně 1 pozici v realizačním týmu</w:t>
      </w:r>
      <w:r w:rsidRPr="00376897">
        <w:rPr>
          <w:rFonts w:eastAsia="Calibri" w:cs="Times New Roman"/>
          <w:szCs w:val="18"/>
        </w:rPr>
        <w:t xml:space="preserve"> a jednu pozici může zastávat </w:t>
      </w:r>
      <w:r w:rsidRPr="00376897">
        <w:rPr>
          <w:rFonts w:eastAsia="Calibri" w:cs="Times New Roman"/>
          <w:b/>
          <w:bCs/>
          <w:szCs w:val="18"/>
          <w:u w:val="single"/>
        </w:rPr>
        <w:t>maximálně 1 osoba</w:t>
      </w:r>
      <w:r w:rsidRPr="00376897">
        <w:rPr>
          <w:rFonts w:eastAsia="Calibri" w:cs="Times New Roman"/>
          <w:bCs/>
          <w:szCs w:val="18"/>
        </w:rPr>
        <w:t>.</w:t>
      </w:r>
    </w:p>
    <w:p w14:paraId="7E8B8075" w14:textId="1B36D44A" w:rsidR="00376897" w:rsidRPr="00376897" w:rsidRDefault="00376897" w:rsidP="00646BC3">
      <w:pPr>
        <w:widowControl w:val="0"/>
        <w:spacing w:line="288" w:lineRule="auto"/>
        <w:ind w:left="1276"/>
        <w:jc w:val="both"/>
        <w:rPr>
          <w:rFonts w:eastAsia="Calibri" w:cs="Times New Roman"/>
          <w:bCs/>
          <w:szCs w:val="18"/>
        </w:rPr>
      </w:pPr>
      <w:r w:rsidRPr="00376897">
        <w:rPr>
          <w:rFonts w:eastAsia="Calibri" w:cs="Times New Roman"/>
          <w:bCs/>
          <w:szCs w:val="18"/>
        </w:rPr>
        <w:t>Dodavatel může nad rámec uvedeného minimálního počtu 12 osob – členů týmu – předložit profesní životopisy dalších osob, které hodlá při plnění veřejné zakázky využít. Tyto osoby musí disponovat minimálně vysokoškolským vzděláním bakalářského stupně a praxí v daném oboru (právní poradenství, finanční a ekonomické poradenství, technické poradenství v oblasti infrastrukturních projektů / investorská příprava staveb dráhy) v délce minimálně 3 let.</w:t>
      </w:r>
    </w:p>
    <w:p w14:paraId="48CBFA9F" w14:textId="77777777" w:rsidR="00376897" w:rsidRPr="00376897" w:rsidRDefault="00376897" w:rsidP="00646BC3">
      <w:pPr>
        <w:ind w:left="1276"/>
        <w:jc w:val="both"/>
        <w:rPr>
          <w:rFonts w:eastAsia="Calibri" w:cs="Times New Roman"/>
          <w:szCs w:val="18"/>
        </w:rPr>
      </w:pPr>
      <w:r w:rsidRPr="00376897">
        <w:rPr>
          <w:rFonts w:eastAsia="Calibri" w:cs="Times New Roman"/>
          <w:szCs w:val="18"/>
        </w:rPr>
        <w:t xml:space="preserve">Za realizované služby se považují služby, které byly v průběhu doby uvedené v tabulce výše dokončeny (tj. byly poskytnuty objednateli v rozsahu požadovaném </w:t>
      </w:r>
      <w:r w:rsidRPr="00376897">
        <w:rPr>
          <w:rFonts w:eastAsia="Calibri" w:cs="Times New Roman"/>
          <w:szCs w:val="18"/>
        </w:rPr>
        <w:lastRenderedPageBreak/>
        <w:t>výše, překážkou není, pokud jsou zadavatelem požadované činnosti součástí rozsáhlejšího plnění pro objednatele, které nadále trvá).</w:t>
      </w:r>
    </w:p>
    <w:p w14:paraId="324D536C" w14:textId="2AF88CE8" w:rsidR="00621EA7" w:rsidRDefault="00376897" w:rsidP="00646BC3">
      <w:pPr>
        <w:spacing w:after="0"/>
        <w:ind w:left="1276"/>
        <w:jc w:val="both"/>
        <w:rPr>
          <w:rFonts w:eastAsia="Calibri" w:cs="Times New Roman"/>
          <w:szCs w:val="18"/>
        </w:rPr>
      </w:pPr>
      <w:r w:rsidRPr="00376897">
        <w:rPr>
          <w:rFonts w:eastAsia="Calibri" w:cs="Times New Roman"/>
          <w:szCs w:val="18"/>
        </w:rPr>
        <w:t xml:space="preserve">Pokud byla některá z referenčních zakázek plněna v zemi odlišné od České republiky, tak dodavatelé </w:t>
      </w:r>
      <w:r w:rsidRPr="00376897">
        <w:rPr>
          <w:rFonts w:eastAsia="Calibri" w:cs="Times New Roman"/>
          <w:b/>
          <w:bCs/>
          <w:szCs w:val="18"/>
        </w:rPr>
        <w:t>uvedou v předmětných dokumentech hodnotu referenční zakázky</w:t>
      </w:r>
      <w:r w:rsidRPr="00376897">
        <w:rPr>
          <w:rFonts w:eastAsia="Calibri" w:cs="Times New Roman"/>
          <w:szCs w:val="18"/>
        </w:rPr>
        <w:t xml:space="preserve"> </w:t>
      </w:r>
      <w:r w:rsidRPr="00376897">
        <w:rPr>
          <w:rFonts w:eastAsia="Calibri" w:cs="Times New Roman"/>
          <w:b/>
          <w:bCs/>
          <w:szCs w:val="18"/>
          <w:u w:val="single"/>
        </w:rPr>
        <w:t>v měně této jiné země</w:t>
      </w:r>
      <w:r w:rsidRPr="00376897">
        <w:rPr>
          <w:rFonts w:eastAsia="Calibri" w:cs="Times New Roman"/>
          <w:szCs w:val="18"/>
        </w:rPr>
        <w:t xml:space="preserve"> a </w:t>
      </w:r>
      <w:r w:rsidRPr="00376897">
        <w:rPr>
          <w:rFonts w:eastAsia="Calibri" w:cs="Times New Roman"/>
          <w:b/>
          <w:bCs/>
          <w:szCs w:val="18"/>
        </w:rPr>
        <w:t>zadavatel poté při posuzování daných referenčních zakázek provede přepočet hodnoty</w:t>
      </w:r>
      <w:r w:rsidRPr="00376897">
        <w:rPr>
          <w:rFonts w:eastAsia="Calibri" w:cs="Times New Roman"/>
          <w:szCs w:val="18"/>
        </w:rPr>
        <w:t xml:space="preserve"> z jiné měny na CZK dle kurzů zveřejněných Českou národní bankou</w:t>
      </w:r>
      <w:r w:rsidRPr="00376897">
        <w:rPr>
          <w:rFonts w:eastAsia="Calibri" w:cs="Times New Roman"/>
          <w:szCs w:val="18"/>
          <w:vertAlign w:val="superscript"/>
        </w:rPr>
        <w:footnoteReference w:id="2"/>
      </w:r>
      <w:r w:rsidRPr="00376897">
        <w:rPr>
          <w:rFonts w:eastAsia="Calibri" w:cs="Times New Roman"/>
          <w:szCs w:val="18"/>
        </w:rPr>
        <w:t xml:space="preserve"> ke dni, ve kterém bylo zahájeno toto zadávací řízení.</w:t>
      </w:r>
    </w:p>
    <w:p w14:paraId="0F680D1F" w14:textId="5ED3B163" w:rsidR="00FF7030" w:rsidRDefault="00FF7030" w:rsidP="00646BC3">
      <w:pPr>
        <w:pStyle w:val="Nadpis2"/>
      </w:pPr>
      <w:r w:rsidRPr="00BE4D95">
        <w:rPr>
          <w:u w:val="single"/>
        </w:rPr>
        <w:t>Definice</w:t>
      </w:r>
      <w:r w:rsidR="001D5069">
        <w:t xml:space="preserve"> pro účely posouzení splnění podmínek </w:t>
      </w:r>
      <w:r w:rsidR="00C466D7">
        <w:t xml:space="preserve">technické kvalifikace </w:t>
      </w:r>
      <w:r w:rsidR="001D5069">
        <w:t>a pro účely hodnocení nabídek</w:t>
      </w:r>
    </w:p>
    <w:p w14:paraId="253702A5" w14:textId="533EC47F" w:rsidR="001D5069" w:rsidRDefault="00FF7030" w:rsidP="00646BC3">
      <w:pPr>
        <w:pStyle w:val="Nadpis3"/>
        <w:ind w:left="1985"/>
      </w:pPr>
      <w:r w:rsidRPr="001D5069">
        <w:rPr>
          <w:b/>
          <w:bCs/>
        </w:rPr>
        <w:t>PPP</w:t>
      </w:r>
      <w:r w:rsidR="001D5069">
        <w:t xml:space="preserve"> – Partnerství veřejného a soukromého sektoru (anglicky: </w:t>
      </w:r>
      <w:r w:rsidR="001D5069" w:rsidRPr="00F45853">
        <w:rPr>
          <w:i/>
        </w:rPr>
        <w:t>public-private-partnership</w:t>
      </w:r>
      <w:r w:rsidR="001D5069">
        <w:t>) je model dlouhodobého smluvního vztahu, tj. vztahu trvajícím déle než 15 let, mezi veřejným a soukromým subjektem pro zajištění dostupnosti veřejné infrastruktury a s ní spojených služeb, tj. zajištění poskytování veřejné služby koncovým uživatelům ze strany soukromého subjektu od ukončení výstavby do doby ukončení tohoto dlouhodobého smluvního vztahu, kde soukromý subjekt přebírá od okamžiku Smluvního uzavření významná projektová rizika při výstavbě a provozu a odpovědnost za kvalitu poskytovaných služeb a jeho odměna je přímo spojena s jeho výkonem. Za PPP lze považovat modely:</w:t>
      </w:r>
    </w:p>
    <w:p w14:paraId="4A6D47F0" w14:textId="38E30139" w:rsidR="001D5069" w:rsidRDefault="001D5069" w:rsidP="00646BC3">
      <w:pPr>
        <w:pStyle w:val="Nadpis3"/>
        <w:numPr>
          <w:ilvl w:val="1"/>
          <w:numId w:val="20"/>
        </w:numPr>
        <w:ind w:left="2410"/>
      </w:pPr>
      <w:r w:rsidRPr="00441215">
        <w:rPr>
          <w:b/>
          <w:bCs/>
        </w:rPr>
        <w:t>Model „</w:t>
      </w:r>
      <w:r w:rsidRPr="00441215">
        <w:rPr>
          <w:b/>
          <w:bCs/>
          <w:i/>
        </w:rPr>
        <w:t>navrhni-postav-financuj-spravuj</w:t>
      </w:r>
      <w:r w:rsidRPr="00441215">
        <w:rPr>
          <w:b/>
          <w:bCs/>
        </w:rPr>
        <w:t>“</w:t>
      </w:r>
      <w:r>
        <w:t xml:space="preserve">, anglicky: </w:t>
      </w:r>
      <w:r w:rsidRPr="00292FD5">
        <w:rPr>
          <w:i/>
        </w:rPr>
        <w:t>Design-Build-Finance-Maintain</w:t>
      </w:r>
      <w:r>
        <w:t xml:space="preserve"> („</w:t>
      </w:r>
      <w:r w:rsidRPr="00321C3C">
        <w:rPr>
          <w:b/>
          <w:bCs/>
        </w:rPr>
        <w:t>DBFM</w:t>
      </w:r>
      <w:r>
        <w:t>“) je model smluvního vztahu mezi zadavatelem a koncesionářem, kdy zadavatel přenáší na soukromý sektor veškerá rizika spojená s projektováním, výstavbou, financováním a údržbou liniové dopravní infrastruktury a předává koncesionáři do užívání veřejné infrastruktury za účelem zajištění dostupnosti veřejných služeb. V modelu DBFM hradí zadavatel koncesionáři platbu za dostupnost veřejné služby za to, že je veřejná služba dostupná v požadované kvalitě uživatelům liniové dopravní infrastruktury. Zadavatel odpovídá za rizika spojená s provozováním liniové dopravní infrastruktury.</w:t>
      </w:r>
    </w:p>
    <w:p w14:paraId="7F38EA22" w14:textId="436AE276" w:rsidR="00FF7030" w:rsidRDefault="001D5069" w:rsidP="00646BC3">
      <w:pPr>
        <w:pStyle w:val="Nadpis3"/>
        <w:numPr>
          <w:ilvl w:val="1"/>
          <w:numId w:val="20"/>
        </w:numPr>
        <w:ind w:left="2410"/>
      </w:pPr>
      <w:r w:rsidRPr="00441215">
        <w:rPr>
          <w:b/>
          <w:bCs/>
        </w:rPr>
        <w:t>Model „</w:t>
      </w:r>
      <w:r w:rsidRPr="00441215">
        <w:rPr>
          <w:b/>
          <w:bCs/>
          <w:i/>
        </w:rPr>
        <w:t>navrhni-postav-financuj-spravuj-provozuj</w:t>
      </w:r>
      <w:r w:rsidRPr="00441215">
        <w:rPr>
          <w:b/>
          <w:bCs/>
        </w:rPr>
        <w:t>“</w:t>
      </w:r>
      <w:r>
        <w:t xml:space="preserve">, anglicky: </w:t>
      </w:r>
      <w:r w:rsidRPr="00292FD5">
        <w:rPr>
          <w:i/>
        </w:rPr>
        <w:t>Design-Build-Finance-Maintain-Operate</w:t>
      </w:r>
      <w:r>
        <w:t xml:space="preserve"> („</w:t>
      </w:r>
      <w:r w:rsidRPr="00321C3C">
        <w:rPr>
          <w:b/>
          <w:bCs/>
        </w:rPr>
        <w:t>DBFMO</w:t>
      </w:r>
      <w:r>
        <w:t>“) je model smluvního vztahu mezi zadavatelem a koncesionářem, kdy zadavatel přenáší na soukromý sektor veškerá rizika spojená s projektováním, výstavbou, financováním, údržbou a provozem liniové dopravní infrastruktury a předává koncesionáři do užívání veřejné infrastruktury za účelem zajištění dostupnosti veřejných služeb. V modelu DBFMO hradí zadavatel koncesionáři platbu za dostupnost veřejné služby z</w:t>
      </w:r>
      <w:r w:rsidR="00F67A4A">
        <w:t>a</w:t>
      </w:r>
      <w:r>
        <w:t xml:space="preserve"> to, že je veřejná služba dostupná v požadované </w:t>
      </w:r>
      <w:r>
        <w:lastRenderedPageBreak/>
        <w:t>kvalitě uživatelům liniové dopravní infrastruktury. Koncesionář odpovídá za rizika spojená s provozováním liniové dopravní infrastruktury.</w:t>
      </w:r>
    </w:p>
    <w:p w14:paraId="7D365FF8" w14:textId="57D6428C" w:rsidR="00D30F31" w:rsidRPr="00D30F31" w:rsidRDefault="00CB13E6" w:rsidP="00646BC3">
      <w:pPr>
        <w:pStyle w:val="Nadpis3"/>
        <w:ind w:left="1985"/>
      </w:pPr>
      <w:r w:rsidRPr="00646BC3">
        <w:rPr>
          <w:b/>
          <w:bCs/>
        </w:rPr>
        <w:t>PPP projekt</w:t>
      </w:r>
      <w:r w:rsidRPr="00D30F31">
        <w:t xml:space="preserve"> – Projekt, jehož cílem je </w:t>
      </w:r>
      <w:r w:rsidR="00AF5346">
        <w:t xml:space="preserve">„PPP“ </w:t>
      </w:r>
      <w:r w:rsidR="00E96325">
        <w:t xml:space="preserve">dle článku 8.5.1. této zadávací dokumetnace </w:t>
      </w:r>
      <w:r w:rsidR="00AF5346">
        <w:t xml:space="preserve">– tedy </w:t>
      </w:r>
      <w:r w:rsidRPr="00D30F31">
        <w:t>dosažení dlouhodobého smluvního vztahu formou uzavření smlouvy mezi soukromým a veřejným subjektem, jímž se soukromý sektor zavazuje zajistit financování projektu ze soukromých zdrojů a provedení návrhu a výstavby veřejné infrastruktury s převzetím vybraných rizik v projekční, výstavbové a provozní fázi a závazky k dlouhodobému zajištění veřejných služeb soukromým sektorem, kde odměna soukromého subjektu je přímo spojena s jeho výkonem. Pro vyloučení pochybností zadavatel uvádí, že za PPP projekt lze považovat takový projekt, který dosáhl Smluvního a Finančního uzavření dle definic uvedených níže.</w:t>
      </w:r>
    </w:p>
    <w:p w14:paraId="12EE5721" w14:textId="77777777" w:rsidR="00D30F31" w:rsidRPr="00D30F31" w:rsidRDefault="00D30F31" w:rsidP="00646BC3">
      <w:pPr>
        <w:pStyle w:val="Nadpis3"/>
        <w:ind w:left="1985" w:hanging="646"/>
      </w:pPr>
      <w:r w:rsidRPr="00646BC3">
        <w:rPr>
          <w:b/>
          <w:bCs/>
        </w:rPr>
        <w:t>Smluvní</w:t>
      </w:r>
      <w:r w:rsidRPr="00D30F31">
        <w:t xml:space="preserve"> </w:t>
      </w:r>
      <w:r w:rsidRPr="00646BC3">
        <w:rPr>
          <w:b/>
          <w:bCs/>
        </w:rPr>
        <w:t xml:space="preserve">uzavření – </w:t>
      </w:r>
      <w:r w:rsidRPr="00D30F31">
        <w:t xml:space="preserve">(anglicky: </w:t>
      </w:r>
      <w:r w:rsidRPr="00646BC3">
        <w:rPr>
          <w:i/>
        </w:rPr>
        <w:t>commercial close</w:t>
      </w:r>
      <w:r w:rsidRPr="00D30F31">
        <w:t>) Okamžik uzavření hlavní smlouvy o realizaci PPP projektu mezi veřejným a soukromým subjektem realizujícím PPP projekt a případně dalších souvisejících smluv a/nebo dokumentů nezbytných pro realizaci PPP projektu; s výjimkou smluv a/nebo dokumentace uzavírané či podmíněné Finančním uzavřením, které následuje po Smluvním uzavření.</w:t>
      </w:r>
    </w:p>
    <w:p w14:paraId="459DA4A3" w14:textId="6240756D" w:rsidR="006C34AC" w:rsidRPr="00D30F31" w:rsidRDefault="00D30F31" w:rsidP="00646BC3">
      <w:pPr>
        <w:pStyle w:val="Nadpis3"/>
        <w:ind w:left="1985" w:hanging="646"/>
      </w:pPr>
      <w:r w:rsidRPr="00646BC3">
        <w:rPr>
          <w:b/>
          <w:bCs/>
        </w:rPr>
        <w:t>Finanční</w:t>
      </w:r>
      <w:r w:rsidRPr="00D30F31">
        <w:t xml:space="preserve"> </w:t>
      </w:r>
      <w:r w:rsidRPr="00646BC3">
        <w:rPr>
          <w:b/>
          <w:bCs/>
        </w:rPr>
        <w:t>uzavření</w:t>
      </w:r>
      <w:r>
        <w:t xml:space="preserve"> – </w:t>
      </w:r>
      <w:r w:rsidRPr="00D30F31">
        <w:t xml:space="preserve">(anglicky: </w:t>
      </w:r>
      <w:r w:rsidRPr="00646BC3">
        <w:rPr>
          <w:i/>
        </w:rPr>
        <w:t>financial close</w:t>
      </w:r>
      <w:r w:rsidRPr="00D30F31">
        <w:t>) Okamžik uzavření smluv o financování PPP projektu soukromým subjektem realizujícím PPP projekt a financujícími institucemi, který následuje po Smluvním uzavření; jde o milník, v rámci kterého se mezi soukromým subjektem a financujícími institucemi smluvně uzavřou podmínky financování PPP projektu ve smyslu odkládacích podmínek tou dobou již smluvně uzavřené smlouvy mezi veřejným a soukromým subjektem</w:t>
      </w:r>
      <w:r>
        <w:t>.</w:t>
      </w:r>
    </w:p>
    <w:p w14:paraId="48549204" w14:textId="77777777" w:rsidR="003117C4" w:rsidRDefault="00C20920" w:rsidP="00646BC3">
      <w:pPr>
        <w:pStyle w:val="Nadpis3"/>
        <w:ind w:left="1985" w:hanging="646"/>
      </w:pPr>
      <w:r w:rsidRPr="00646BC3">
        <w:rPr>
          <w:b/>
          <w:bCs/>
        </w:rPr>
        <w:t>Dopravní infrastruktura</w:t>
      </w:r>
      <w:r w:rsidRPr="00D30F31">
        <w:t xml:space="preserve"> – dopravní infrastruktura ve smyslu ust. § 2 odst. 1 písm. m) bod 1. zákona č. </w:t>
      </w:r>
      <w:r w:rsidR="003117C4" w:rsidRPr="003117C4">
        <w:rPr>
          <w:rFonts w:eastAsiaTheme="minorHAnsi" w:cstheme="minorBidi"/>
          <w:iCs w:val="0"/>
          <w:noProof w:val="0"/>
          <w:szCs w:val="22"/>
        </w:rPr>
        <w:t xml:space="preserve">183/2006 </w:t>
      </w:r>
      <w:r w:rsidRPr="00D30F31">
        <w:t>Sb., o územním plánování a stavebním řádu (stavební zákon), ve znění pozdějších předpisů, nebo rovnocenná infrastruktura ze zahraničí.</w:t>
      </w:r>
    </w:p>
    <w:p w14:paraId="6F58EB74" w14:textId="29B57CBC" w:rsidR="006C34AC" w:rsidRPr="00D30F31" w:rsidRDefault="003117C4" w:rsidP="00646BC3">
      <w:pPr>
        <w:pStyle w:val="Nadpis3"/>
        <w:ind w:left="1985" w:hanging="646"/>
      </w:pPr>
      <w:r w:rsidRPr="003117C4">
        <w:rPr>
          <w:b/>
          <w:bCs/>
        </w:rPr>
        <w:t>Liniová</w:t>
      </w:r>
      <w:r w:rsidRPr="003117C4">
        <w:t xml:space="preserve"> </w:t>
      </w:r>
      <w:r w:rsidRPr="003117C4">
        <w:rPr>
          <w:b/>
          <w:bCs/>
        </w:rPr>
        <w:t>dopravní</w:t>
      </w:r>
      <w:r w:rsidRPr="003117C4">
        <w:t xml:space="preserve"> </w:t>
      </w:r>
      <w:r w:rsidRPr="003117C4">
        <w:rPr>
          <w:b/>
          <w:bCs/>
        </w:rPr>
        <w:t>infrastruktura</w:t>
      </w:r>
      <w:r w:rsidRPr="003117C4">
        <w:t xml:space="preserve"> – dopravní infrastruktura, která je zároveň liniovou stavbou ve smylsu § 509 zákona č. 89/2012 Sb., občanský zákoník, ve znění pozdějších předpisů, nebo rovnocenná infrastruktura ze zahraničí.</w:t>
      </w:r>
    </w:p>
    <w:p w14:paraId="18F50324" w14:textId="45897D45" w:rsidR="00D30F31" w:rsidRDefault="006C34AC" w:rsidP="003117C4">
      <w:pPr>
        <w:pStyle w:val="Nadpis3"/>
        <w:ind w:left="1985" w:hanging="646"/>
      </w:pPr>
      <w:r w:rsidRPr="00646BC3">
        <w:rPr>
          <w:b/>
          <w:bCs/>
        </w:rPr>
        <w:t>Stavba dráhy</w:t>
      </w:r>
      <w:r w:rsidRPr="00D30F31">
        <w:t xml:space="preserve"> – stavby dráhy železniční a související zařízení služeb ve smyslu zákona č. 266/1994 Sb., o dráhách, ve znění pozdějších předpisů, nebo rovnocenné infrastrukturní stavby ze zahraničí.</w:t>
      </w:r>
    </w:p>
    <w:p w14:paraId="55BEE4F0" w14:textId="22BAED13" w:rsidR="002734B8" w:rsidRPr="002734B8" w:rsidRDefault="002734B8" w:rsidP="002734B8">
      <w:pPr>
        <w:pStyle w:val="Nadpis3"/>
        <w:ind w:left="1985"/>
      </w:pPr>
      <w:r>
        <w:rPr>
          <w:b/>
          <w:bCs/>
        </w:rPr>
        <w:t xml:space="preserve">Schopnost </w:t>
      </w:r>
      <w:r w:rsidRPr="002734B8">
        <w:rPr>
          <w:b/>
          <w:bCs/>
        </w:rPr>
        <w:t>odborné komunikace</w:t>
      </w:r>
      <w:r>
        <w:rPr>
          <w:b/>
          <w:bCs/>
        </w:rPr>
        <w:t xml:space="preserve"> </w:t>
      </w:r>
      <w:r w:rsidRPr="002734B8">
        <w:t xml:space="preserve">– schopnost ovládání </w:t>
      </w:r>
      <w:r>
        <w:t>určitého</w:t>
      </w:r>
      <w:r w:rsidRPr="002734B8">
        <w:t xml:space="preserve"> jazyka alespoň na stupni obdobném úrovni B2 podle společného evropského referenčního rámce pro jazyky.</w:t>
      </w:r>
    </w:p>
    <w:p w14:paraId="456E258A" w14:textId="2DB4512C" w:rsidR="005038C4" w:rsidRPr="00FF7030" w:rsidRDefault="005038C4" w:rsidP="005038C4">
      <w:pPr>
        <w:pStyle w:val="Nadpis1"/>
      </w:pPr>
      <w:r>
        <w:lastRenderedPageBreak/>
        <w:t>Společná ustanovení k požadavkům na kvalifikaci</w:t>
      </w:r>
    </w:p>
    <w:p w14:paraId="00FCEF9B" w14:textId="30C204F7" w:rsidR="00307AD1" w:rsidRPr="00BE4D95" w:rsidRDefault="00AC31D7" w:rsidP="00646BC3">
      <w:pPr>
        <w:pStyle w:val="Nadpis2"/>
        <w:rPr>
          <w:u w:val="single"/>
        </w:rPr>
      </w:pPr>
      <w:r w:rsidRPr="00BE4D95">
        <w:rPr>
          <w:u w:val="single"/>
        </w:rPr>
        <w:t>Pravost dokladů prokazujících splnění kvalifikace</w:t>
      </w:r>
    </w:p>
    <w:p w14:paraId="1944167D" w14:textId="53E7F15D" w:rsidR="00AC31D7" w:rsidRDefault="00AC31D7" w:rsidP="0024309A">
      <w:pPr>
        <w:pStyle w:val="Nadpis3"/>
        <w:numPr>
          <w:ilvl w:val="0"/>
          <w:numId w:val="0"/>
        </w:numPr>
        <w:spacing w:before="120"/>
        <w:ind w:left="1276"/>
      </w:pPr>
      <w:r>
        <w:t xml:space="preserve">Dodavatel prokáže splnění kvalifikace příslušnými doklady. </w:t>
      </w:r>
      <w:r w:rsidR="00074F5A" w:rsidRPr="00074F5A">
        <w:t>Zadavatel neumožňuje ve smyslu § 86 odst. 2 ZZVZ nahrazení požadovaných dokladů jiným než v zadávací dokumentaci výslovně připuštěným čestným prohlášením dodavatele</w:t>
      </w:r>
      <w:r w:rsidR="00074F5A">
        <w:t xml:space="preserve">. </w:t>
      </w:r>
      <w:r>
        <w:t>Zadavatel je oprávněn požadovat předložení originálu nebo ověřené kopie dokladu podle § 46 odst. 1 zákona. V souladu s ust. § 39 odst. 5 zákona je zadavatel oprávněn ověřovat věrohodnost poskytnutých údajů a dokladů a může si je také opatřovat sám.</w:t>
      </w:r>
    </w:p>
    <w:p w14:paraId="0A1067A4" w14:textId="353E73E4" w:rsidR="00797D00" w:rsidRPr="00BE4D95" w:rsidRDefault="00797D00" w:rsidP="00646BC3">
      <w:pPr>
        <w:pStyle w:val="Nadpis2"/>
        <w:rPr>
          <w:u w:val="single"/>
        </w:rPr>
      </w:pPr>
      <w:r w:rsidRPr="00BE4D95">
        <w:rPr>
          <w:u w:val="single"/>
        </w:rPr>
        <w:t>Stáří dokladů prokazujících splnění kvalifikace</w:t>
      </w:r>
    </w:p>
    <w:p w14:paraId="0618031F" w14:textId="6C1E02C6" w:rsidR="00797D00" w:rsidRDefault="00797D00" w:rsidP="004233A3">
      <w:pPr>
        <w:ind w:left="1276"/>
        <w:jc w:val="both"/>
      </w:pPr>
      <w:r w:rsidRPr="00797D00">
        <w:t>Doklady prokazující základní způsobilost musí prokazovat splnění požadovaného kritéria způsobilosti nejpozději v době 3 měsíců před zahájením zadávacího řízení.</w:t>
      </w:r>
    </w:p>
    <w:p w14:paraId="1EFDDA9A" w14:textId="43A845A4" w:rsidR="003559AD" w:rsidRPr="00BE4D95" w:rsidRDefault="003559AD" w:rsidP="00646BC3">
      <w:pPr>
        <w:pStyle w:val="Nadpis2"/>
        <w:rPr>
          <w:u w:val="single"/>
        </w:rPr>
      </w:pPr>
      <w:r w:rsidRPr="00BE4D95">
        <w:rPr>
          <w:u w:val="single"/>
        </w:rPr>
        <w:t>Prokázání kvalifikace v případě zahraničních osob</w:t>
      </w:r>
    </w:p>
    <w:p w14:paraId="53221207" w14:textId="4E96EE8F" w:rsidR="003559AD" w:rsidRDefault="003559AD" w:rsidP="00646BC3">
      <w:pPr>
        <w:ind w:left="1276"/>
        <w:jc w:val="both"/>
      </w:pPr>
      <w:r w:rsidRPr="003559AD">
        <w:t>Zahraniční dodavatel prokazuje splnění kvalifikace způsobem dle ust. § 81 ZZVZ doklady vydanými podle právního řádu země, ve které byla získána, a to v rozsahu požadovaném zadavatelem. Pokud ZZVZ nebo zadavatel vyžaduje předložení dokladu podle právního řádu České republiky, může dodavatel předložit obdobný doklad podle právního řádu státu, ve kterém se tento doklad vydává</w:t>
      </w:r>
      <w:r w:rsidR="0024309A">
        <w:t>.</w:t>
      </w:r>
    </w:p>
    <w:p w14:paraId="07426D98" w14:textId="79196B66" w:rsidR="0024309A" w:rsidRDefault="0024309A" w:rsidP="00646BC3">
      <w:pPr>
        <w:ind w:left="1276"/>
        <w:jc w:val="both"/>
      </w:pPr>
      <w:r w:rsidRPr="0024309A">
        <w:t>V případě cizojazyčných dokumentů připojí účastník k dokumentům ve smyslu ust. § 45 odst. 3 ZZVZ jejich prostý překlad do českého jazyka. Povinnost připojit k dokladům překlad do českého jazyka se nevztahuje na doklady ve slovenském jazyce. Doklady o vzdělání, např. vysokoškolské diplomy lze předkládat rovněž v latinském jazyce. Uvedené ustanovení se týká všech dokladů, nejen kvalifikačních a celá nabídka tak může být podána ve slovenském jazyce.</w:t>
      </w:r>
    </w:p>
    <w:p w14:paraId="2DA99281" w14:textId="49FE2042" w:rsidR="003559AD" w:rsidRDefault="003559AD" w:rsidP="00646BC3">
      <w:pPr>
        <w:ind w:left="1276"/>
        <w:jc w:val="both"/>
      </w:pPr>
      <w:r w:rsidRPr="003559AD">
        <w:t>Výpis z evidence Rejstříku trestů v ČR vydává Rejstřík trestů. Potvrzení pro daňové nedoplatky zahraničních dodavatelů v ČR vydává Finanční úřad pro hlavní město Prahu, Územní pracoviště pro Prahu 1 a potvrzení pro nedoplatky zahraničních dodavatelů v ČR na pojistném a na penále na sociální zabezpečení a příspěvku na státní politiku zaměstnanosti vydává Pražská správa sociálního zabezpečení.</w:t>
      </w:r>
    </w:p>
    <w:p w14:paraId="4021ACE3" w14:textId="1C9CB9CA" w:rsidR="003559AD" w:rsidRPr="00BE4D95" w:rsidRDefault="003559AD" w:rsidP="00646BC3">
      <w:pPr>
        <w:pStyle w:val="Nadpis2"/>
        <w:rPr>
          <w:u w:val="single"/>
        </w:rPr>
      </w:pPr>
      <w:r w:rsidRPr="00BE4D95">
        <w:rPr>
          <w:u w:val="single"/>
        </w:rPr>
        <w:t>Prokázání části kvalifikace prostřednictvím jiných osob</w:t>
      </w:r>
    </w:p>
    <w:p w14:paraId="2D021B66" w14:textId="2DEEA725" w:rsidR="005208F2" w:rsidRDefault="005208F2" w:rsidP="00646BC3">
      <w:pPr>
        <w:ind w:left="1276"/>
        <w:jc w:val="both"/>
      </w:pPr>
      <w:r>
        <w:t xml:space="preserve">Dodavatel může ekonomickou kvalifikaci, technickou kvalifikaci nebo profesní způsobilost </w:t>
      </w:r>
      <w:r w:rsidR="006A554F">
        <w:t xml:space="preserve">(jsou-li požadovány) </w:t>
      </w:r>
      <w:r>
        <w:t>s výjimkou kritéria podle § 77 odst. 1 ZZVZ požadovanou zadavatelem prokázat prostřednictvím jiných osob, a to za podmínek a v souladu s ust. § 83 ZZVZ. Dodavatel je v takovém případě povinen zadavateli předložit doklady dle ust. § 83 odst. 1 písm. a) až c) ZZVZ a smlouvu, nebo písemné potvrzení o její existenci dle ust. § 83 odst. 1 písm. d) ZZVZ</w:t>
      </w:r>
      <w:r w:rsidR="007F6CB6">
        <w:t>, jejímž obsahem je závazek jiné osoby</w:t>
      </w:r>
      <w:r>
        <w:t xml:space="preserve">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44E1F112" w14:textId="77777777" w:rsidR="005208F2" w:rsidRDefault="005208F2" w:rsidP="00646BC3">
      <w:pPr>
        <w:ind w:left="1276"/>
        <w:jc w:val="both"/>
      </w:pPr>
      <w:r w:rsidRPr="005208F2">
        <w:rPr>
          <w:b/>
          <w:bCs/>
        </w:rPr>
        <w:lastRenderedPageBreak/>
        <w:t>Osoby, jejichž prostřednictvím dodavatel prokazuje kvalifikaci ve veřejné zakázce, je dodavatel povinen využívat při plnění dle Smlouvy</w:t>
      </w:r>
      <w:r>
        <w:t xml:space="preserve"> uzavřené s dodavatelem jakožto vybraným dodavatelem, a to </w:t>
      </w:r>
      <w:r w:rsidRPr="005208F2">
        <w:rPr>
          <w:b/>
          <w:bCs/>
        </w:rPr>
        <w:t>po celou dobu</w:t>
      </w:r>
      <w:r>
        <w:t xml:space="preserve"> jejího trvání a lze je vyměnit pouze s předchozím písemným souhlasem zadavatele, který může být dán výlučně za předpokladu, že tyto osoby budou nahrazeny osobami splňujícími kvalifikaci požadovanou ve veřejné zakázce nejméně ve stejném rozsahu jako nahrazované osoby, a to včetně případně shodného naplnění kritérií hodnocení. Zadavatel bezdůvodně neodmítne udělení souhlasu. Dodavatel je povinen poskytnout součinnost k tomu, aby byl zadavatel schopen identifikovat osoby poskytující plnění na jeho straně.</w:t>
      </w:r>
    </w:p>
    <w:p w14:paraId="2AEA114A" w14:textId="77777777" w:rsidR="005208F2" w:rsidRDefault="005208F2" w:rsidP="00646BC3">
      <w:pPr>
        <w:ind w:left="1276"/>
        <w:jc w:val="both"/>
      </w:pPr>
      <w:r>
        <w:t>Dodavatel je povinen poskytnout součinnost k tomu, aby byl zadavatel schopen identifikovat osoby poskytující plnění na jeho straně.</w:t>
      </w:r>
    </w:p>
    <w:p w14:paraId="2EFE71F0" w14:textId="70A5FDE0" w:rsidR="005208F2" w:rsidRDefault="005208F2" w:rsidP="00646BC3">
      <w:pPr>
        <w:ind w:left="1276"/>
        <w:jc w:val="both"/>
      </w:pPr>
      <w:r>
        <w:t>Dodavatelé a jiné osoby prokazují kvalifikaci společně. Tzn., že každý z požadavků technické kvalifikace dle této zadávací dokumentace je oprávněn prokázat jiný subjekt (dodavatel či jiná osoba).</w:t>
      </w:r>
    </w:p>
    <w:p w14:paraId="58FBB4EB" w14:textId="2386419E" w:rsidR="00F216C8" w:rsidRPr="00BE4D95" w:rsidRDefault="00F216C8" w:rsidP="00646BC3">
      <w:pPr>
        <w:pStyle w:val="Nadpis2"/>
        <w:rPr>
          <w:u w:val="single"/>
        </w:rPr>
      </w:pPr>
      <w:r w:rsidRPr="00BE4D95">
        <w:rPr>
          <w:u w:val="single"/>
        </w:rPr>
        <w:t>Prokázání kvalifikace v případě společné účasti dodavatelů</w:t>
      </w:r>
    </w:p>
    <w:p w14:paraId="64C1B858" w14:textId="279E59B3" w:rsidR="00F216C8" w:rsidRDefault="00F216C8" w:rsidP="00646BC3">
      <w:pPr>
        <w:ind w:left="1276"/>
        <w:jc w:val="both"/>
      </w:pPr>
      <w:r>
        <w:t>V případě společné účasti dodavatelů prokazuje základní způsobilost podle ust. § 74 ZZVZ a profesní způsobilost podle ust. § 77 odst. 1 ZZVZ každý dodavatel samostatně.</w:t>
      </w:r>
    </w:p>
    <w:p w14:paraId="267F44E6" w14:textId="76C9ECD2" w:rsidR="00F216C8" w:rsidRDefault="00F216C8" w:rsidP="00646BC3">
      <w:pPr>
        <w:ind w:left="1276"/>
        <w:jc w:val="both"/>
      </w:pPr>
      <w:r>
        <w:t xml:space="preserve">Zadavatel ve smyslu § 103 odst. 1 písm. f) ZZVZ vyžaduje, aby </w:t>
      </w:r>
      <w:r w:rsidRPr="00F216C8">
        <w:rPr>
          <w:b/>
          <w:bCs/>
        </w:rPr>
        <w:t>odpovědnost</w:t>
      </w:r>
      <w:r>
        <w:t xml:space="preserve"> za plnění veřejné zakázky </w:t>
      </w:r>
      <w:r w:rsidRPr="00F216C8">
        <w:rPr>
          <w:b/>
          <w:bCs/>
        </w:rPr>
        <w:t>nesli všichni dodavatelé podávající společnou nabídku společně a nerozdílně</w:t>
      </w:r>
      <w:r>
        <w:t xml:space="preserve"> (v nabídce musí být doložen písemný zá</w:t>
      </w:r>
      <w:r w:rsidRPr="00F216C8">
        <w:t>v</w:t>
      </w:r>
      <w:r>
        <w:t>azek všech dodavatelů podávajících společnou nabídku o společné a nerozdílné odpovědnosti za plnění veřejné zakázky), přičemž jeden z dodavatelů bude určen jako vedoucí společník.</w:t>
      </w:r>
    </w:p>
    <w:p w14:paraId="661E45A5" w14:textId="49DEE450" w:rsidR="00CE3018" w:rsidRPr="00BE4D95" w:rsidRDefault="00CE3018" w:rsidP="00646BC3">
      <w:pPr>
        <w:pStyle w:val="Nadpis2"/>
        <w:rPr>
          <w:u w:val="single"/>
        </w:rPr>
      </w:pPr>
      <w:r w:rsidRPr="00BE4D95">
        <w:rPr>
          <w:u w:val="single"/>
        </w:rPr>
        <w:t>Výpis ze seznamu kvalifikovaných dodavatelů</w:t>
      </w:r>
      <w:r w:rsidR="008A197F" w:rsidRPr="00BE4D95">
        <w:rPr>
          <w:u w:val="single"/>
        </w:rPr>
        <w:t>, certifikát, jednotné evropské osvědčení</w:t>
      </w:r>
    </w:p>
    <w:p w14:paraId="5608DB83" w14:textId="12AAA05C" w:rsidR="005D636E" w:rsidRDefault="00CE3018" w:rsidP="00646BC3">
      <w:pPr>
        <w:suppressAutoHyphens/>
        <w:spacing w:line="264" w:lineRule="auto"/>
        <w:ind w:left="1276"/>
        <w:jc w:val="both"/>
        <w:rPr>
          <w:rFonts w:eastAsia="Verdana" w:cs="Times New Roman"/>
          <w:noProof/>
          <w:szCs w:val="18"/>
        </w:rPr>
      </w:pPr>
      <w:r>
        <w:rPr>
          <w:rFonts w:eastAsia="Verdana" w:cs="Times New Roman"/>
          <w:noProof/>
          <w:szCs w:val="18"/>
        </w:rPr>
        <w:t xml:space="preserve">Dodavatel je oprávněn </w:t>
      </w:r>
      <w:r w:rsidR="00452D2A">
        <w:rPr>
          <w:rFonts w:eastAsia="Verdana" w:cs="Times New Roman"/>
          <w:noProof/>
          <w:szCs w:val="18"/>
        </w:rPr>
        <w:t xml:space="preserve">prokázat splnění </w:t>
      </w:r>
      <w:r w:rsidR="007A3DED" w:rsidRPr="007A3DED">
        <w:rPr>
          <w:rFonts w:eastAsia="Verdana" w:cs="Times New Roman"/>
          <w:noProof/>
          <w:szCs w:val="18"/>
        </w:rPr>
        <w:t>kritérií profesní způsobilosti a základní způsobilost</w:t>
      </w:r>
      <w:r w:rsidR="00452D2A">
        <w:rPr>
          <w:rFonts w:eastAsia="Verdana" w:cs="Times New Roman"/>
          <w:noProof/>
          <w:szCs w:val="18"/>
        </w:rPr>
        <w:t xml:space="preserve"> také vý</w:t>
      </w:r>
      <w:r w:rsidRPr="00CE3018">
        <w:rPr>
          <w:rFonts w:eastAsia="Verdana" w:cs="Times New Roman"/>
          <w:noProof/>
          <w:szCs w:val="18"/>
        </w:rPr>
        <w:t>pisem ze seznamu kvalifikovaných dodavatelů dle ust. § 228 ZZVZ, certifikátem dle ust. §</w:t>
      </w:r>
      <w:r w:rsidR="00452D2A">
        <w:rPr>
          <w:rFonts w:eastAsia="Verdana" w:cs="Times New Roman"/>
          <w:noProof/>
          <w:szCs w:val="18"/>
        </w:rPr>
        <w:t> </w:t>
      </w:r>
      <w:r w:rsidRPr="00CE3018">
        <w:rPr>
          <w:rFonts w:eastAsia="Verdana" w:cs="Times New Roman"/>
          <w:noProof/>
          <w:szCs w:val="18"/>
        </w:rPr>
        <w:t>234 ZZVZ nebo jednotným evropským osvědčením pro veřejné zakázky dle ust. §</w:t>
      </w:r>
      <w:r w:rsidR="00452D2A">
        <w:rPr>
          <w:rFonts w:eastAsia="Verdana" w:cs="Times New Roman"/>
          <w:noProof/>
          <w:szCs w:val="18"/>
        </w:rPr>
        <w:t> </w:t>
      </w:r>
      <w:r w:rsidRPr="00CE3018">
        <w:rPr>
          <w:rFonts w:eastAsia="Verdana" w:cs="Times New Roman"/>
          <w:noProof/>
          <w:szCs w:val="18"/>
        </w:rPr>
        <w:t>87</w:t>
      </w:r>
      <w:r w:rsidR="00452D2A">
        <w:rPr>
          <w:rFonts w:eastAsia="Verdana" w:cs="Times New Roman"/>
          <w:noProof/>
          <w:szCs w:val="18"/>
        </w:rPr>
        <w:t> </w:t>
      </w:r>
      <w:r w:rsidRPr="00CE3018">
        <w:rPr>
          <w:rFonts w:eastAsia="Verdana" w:cs="Times New Roman"/>
          <w:noProof/>
          <w:szCs w:val="18"/>
        </w:rPr>
        <w:t>ZZVZ</w:t>
      </w:r>
      <w:r w:rsidR="00452D2A">
        <w:rPr>
          <w:rFonts w:eastAsia="Verdana" w:cs="Times New Roman"/>
          <w:noProof/>
          <w:szCs w:val="18"/>
        </w:rPr>
        <w:t xml:space="preserve">, a to </w:t>
      </w:r>
      <w:r w:rsidR="00452D2A" w:rsidRPr="00452D2A">
        <w:rPr>
          <w:rFonts w:eastAsia="Verdana" w:cs="Times New Roman"/>
          <w:noProof/>
          <w:szCs w:val="18"/>
        </w:rPr>
        <w:t>v tom rozsahu, v jakém údaje ve výpisu ze seznamu kvalifikovaných dodavatelů</w:t>
      </w:r>
      <w:r w:rsidR="00452D2A">
        <w:rPr>
          <w:rFonts w:eastAsia="Verdana" w:cs="Times New Roman"/>
          <w:noProof/>
          <w:szCs w:val="18"/>
        </w:rPr>
        <w:t>, certifikátu nebo v jednoném osvědčení</w:t>
      </w:r>
      <w:r w:rsidR="00452D2A" w:rsidRPr="00452D2A">
        <w:rPr>
          <w:rFonts w:eastAsia="Verdana" w:cs="Times New Roman"/>
          <w:noProof/>
          <w:szCs w:val="18"/>
        </w:rPr>
        <w:t xml:space="preserve"> prokazují splnění </w:t>
      </w:r>
      <w:r w:rsidR="007A3DED">
        <w:rPr>
          <w:rFonts w:eastAsia="Verdana" w:cs="Times New Roman"/>
          <w:noProof/>
          <w:szCs w:val="18"/>
        </w:rPr>
        <w:t xml:space="preserve">těchto </w:t>
      </w:r>
      <w:r w:rsidR="00452D2A" w:rsidRPr="00452D2A">
        <w:rPr>
          <w:rFonts w:eastAsia="Verdana" w:cs="Times New Roman"/>
          <w:noProof/>
          <w:szCs w:val="18"/>
        </w:rPr>
        <w:t>kritérií</w:t>
      </w:r>
      <w:r w:rsidR="00452D2A">
        <w:rPr>
          <w:rFonts w:eastAsia="Verdana" w:cs="Times New Roman"/>
          <w:noProof/>
          <w:szCs w:val="18"/>
        </w:rPr>
        <w:t>.</w:t>
      </w:r>
    </w:p>
    <w:p w14:paraId="07A15F0C" w14:textId="4FF970CB" w:rsidR="00291717" w:rsidRPr="00BE4D95" w:rsidRDefault="00291717" w:rsidP="00646BC3">
      <w:pPr>
        <w:pStyle w:val="Nadpis2"/>
        <w:rPr>
          <w:u w:val="single"/>
        </w:rPr>
      </w:pPr>
      <w:r w:rsidRPr="00BE4D95">
        <w:rPr>
          <w:u w:val="single"/>
        </w:rPr>
        <w:t>Informační systém veřejné správy</w:t>
      </w:r>
    </w:p>
    <w:p w14:paraId="5EABCFBB" w14:textId="23D05843" w:rsidR="00FB0CAA" w:rsidRDefault="00291717" w:rsidP="00646BC3">
      <w:pPr>
        <w:ind w:left="1276"/>
        <w:jc w:val="both"/>
      </w:pPr>
      <w:r w:rsidRPr="00291717">
        <w:t xml:space="preserve">Povinnost předložit doklad (v 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w:t>
      </w:r>
      <w:r w:rsidRPr="00291717">
        <w:lastRenderedPageBreak/>
        <w:t>rejstříku, výpis z veřejné části živnostenského rejstříku nebo výpis ze seznamu kvalifikovaných dodavatelů.</w:t>
      </w:r>
    </w:p>
    <w:p w14:paraId="3B7C6509" w14:textId="42992793" w:rsidR="0080601A" w:rsidRPr="00BE4D95" w:rsidRDefault="0080601A" w:rsidP="00646BC3">
      <w:pPr>
        <w:pStyle w:val="Nadpis2"/>
        <w:rPr>
          <w:u w:val="single"/>
        </w:rPr>
      </w:pPr>
      <w:r w:rsidRPr="00BE4D95">
        <w:rPr>
          <w:u w:val="single"/>
        </w:rPr>
        <w:t>Důsledek nesplnění kvalifikace</w:t>
      </w:r>
    </w:p>
    <w:p w14:paraId="25D98CB5" w14:textId="138D2335" w:rsidR="0080601A" w:rsidRDefault="0080601A" w:rsidP="00646BC3">
      <w:pPr>
        <w:ind w:left="1276"/>
        <w:jc w:val="both"/>
      </w:pPr>
      <w:r>
        <w:t xml:space="preserve">Dodavatel, který nesplní kvalifikaci v rozsahu </w:t>
      </w:r>
      <w:r w:rsidR="00D95485" w:rsidRPr="00D95485">
        <w:t xml:space="preserve">požadovaném </w:t>
      </w:r>
      <w:r>
        <w:t xml:space="preserve">ZZVZ a </w:t>
      </w:r>
      <w:r w:rsidR="00D95485">
        <w:t xml:space="preserve">v rozsahu </w:t>
      </w:r>
      <w:r w:rsidR="00D95485" w:rsidRPr="00D95485">
        <w:t xml:space="preserve">požadovaném </w:t>
      </w:r>
      <w:r>
        <w:t>touto zadávací dokumentací</w:t>
      </w:r>
      <w:r w:rsidR="00D95485">
        <w:t xml:space="preserve"> (stanoveným </w:t>
      </w:r>
      <w:r>
        <w:t>nebo dovoleným způsobem</w:t>
      </w:r>
      <w:r w:rsidR="00D95485">
        <w:t>)</w:t>
      </w:r>
      <w:r>
        <w:t>, může být zadavatelem z účasti v zadávacím řízení vyloučen.</w:t>
      </w:r>
    </w:p>
    <w:p w14:paraId="333CEFAD" w14:textId="46023E8C" w:rsidR="005D636E" w:rsidRPr="001549EC" w:rsidRDefault="0080601A" w:rsidP="00646BC3">
      <w:pPr>
        <w:ind w:left="1276"/>
        <w:jc w:val="both"/>
      </w:pPr>
      <w:r>
        <w:t>Zadavatel je v souladu s ust. § 79 odst. 1 ZZVZ oprávněn považovat technickou kvalifikaci za neprokázanou, pokud prokáže, že dodavatel má protichůdné zájmy, které by mohly negativně ovlivnit plnění veřejné zakázky.</w:t>
      </w:r>
    </w:p>
    <w:p w14:paraId="629FDC67" w14:textId="6675BE1C" w:rsidR="005D636E" w:rsidRPr="00BE4D95" w:rsidRDefault="005D636E" w:rsidP="00646BC3">
      <w:pPr>
        <w:pStyle w:val="Nadpis2"/>
        <w:rPr>
          <w:u w:val="single"/>
        </w:rPr>
      </w:pPr>
      <w:r w:rsidRPr="00BE4D95">
        <w:rPr>
          <w:u w:val="single"/>
        </w:rPr>
        <w:t>Změny kvalifikace účastníka zadávacího řízení dle § 88 ZZVZ</w:t>
      </w:r>
    </w:p>
    <w:p w14:paraId="29D759D3" w14:textId="77777777" w:rsidR="005D636E" w:rsidRPr="001549EC" w:rsidRDefault="005D636E" w:rsidP="00646BC3">
      <w:pPr>
        <w:pStyle w:val="Nadpis3"/>
        <w:numPr>
          <w:ilvl w:val="0"/>
          <w:numId w:val="0"/>
        </w:numPr>
        <w:spacing w:before="120"/>
        <w:ind w:left="1276"/>
      </w:pPr>
      <w:r w:rsidRPr="001549EC">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sidRPr="001549EC">
        <w:t>:</w:t>
      </w:r>
    </w:p>
    <w:p w14:paraId="758F3F62" w14:textId="77777777" w:rsidR="00F10F91" w:rsidRDefault="005D636E" w:rsidP="00646BC3">
      <w:pPr>
        <w:pStyle w:val="Odstavecseseznamem"/>
        <w:numPr>
          <w:ilvl w:val="0"/>
          <w:numId w:val="10"/>
        </w:numPr>
        <w:suppressAutoHyphens/>
        <w:spacing w:line="264" w:lineRule="auto"/>
        <w:ind w:left="1701" w:hanging="426"/>
        <w:jc w:val="both"/>
        <w:rPr>
          <w:rFonts w:eastAsia="Verdana" w:cs="Times New Roman"/>
          <w:noProof/>
          <w:szCs w:val="18"/>
        </w:rPr>
      </w:pPr>
      <w:r w:rsidRPr="00F10F91">
        <w:rPr>
          <w:rFonts w:eastAsia="Verdana" w:cs="Times New Roman"/>
          <w:noProof/>
          <w:szCs w:val="18"/>
        </w:rPr>
        <w:t>podmínky kvalifikace jsou nadále splněny,</w:t>
      </w:r>
    </w:p>
    <w:p w14:paraId="4E96F256" w14:textId="274DFA7C" w:rsidR="005D636E" w:rsidRPr="00F10F91" w:rsidRDefault="005D636E" w:rsidP="00646BC3">
      <w:pPr>
        <w:pStyle w:val="Odstavecseseznamem"/>
        <w:numPr>
          <w:ilvl w:val="0"/>
          <w:numId w:val="10"/>
        </w:numPr>
        <w:suppressAutoHyphens/>
        <w:spacing w:line="264" w:lineRule="auto"/>
        <w:ind w:left="1701" w:hanging="426"/>
        <w:jc w:val="both"/>
        <w:rPr>
          <w:rFonts w:eastAsia="Verdana" w:cs="Times New Roman"/>
          <w:noProof/>
          <w:szCs w:val="18"/>
        </w:rPr>
      </w:pPr>
      <w:r w:rsidRPr="00F10F91">
        <w:rPr>
          <w:rFonts w:eastAsia="Verdana" w:cs="Times New Roman"/>
          <w:noProof/>
          <w:szCs w:val="18"/>
        </w:rPr>
        <w:t>nedošlo k ovlivnění kritérií hodnocení nabídek.</w:t>
      </w:r>
    </w:p>
    <w:p w14:paraId="55C0F956" w14:textId="0B0F543B" w:rsidR="005D636E" w:rsidRPr="00821EB9" w:rsidRDefault="005D636E" w:rsidP="00646BC3">
      <w:pPr>
        <w:pStyle w:val="Nadpis3"/>
        <w:numPr>
          <w:ilvl w:val="0"/>
          <w:numId w:val="0"/>
        </w:numPr>
        <w:ind w:left="1276"/>
      </w:pPr>
      <w:r w:rsidRPr="001549EC">
        <w:t>Dozví-li se Zadavatel, že dodavatel nesplnil shora uvedenou povinnost, může jej ze zadávacího řízení bezodkladně vyloučit.</w:t>
      </w:r>
    </w:p>
    <w:p w14:paraId="5A986CBF" w14:textId="65BC3FC4" w:rsidR="005D636E" w:rsidRPr="001549EC" w:rsidRDefault="005D636E" w:rsidP="00725912">
      <w:pPr>
        <w:pStyle w:val="Nadpis1"/>
        <w:keepNext w:val="0"/>
        <w:keepLines w:val="0"/>
      </w:pPr>
      <w:r w:rsidRPr="001549EC">
        <w:t>Požadavky na způsob zpracování nabídkové ceny</w:t>
      </w:r>
    </w:p>
    <w:p w14:paraId="2490CC75" w14:textId="77777777" w:rsidR="005D636E" w:rsidRPr="00BE4D95" w:rsidRDefault="005D636E" w:rsidP="00646BC3">
      <w:pPr>
        <w:pStyle w:val="Nadpis2"/>
        <w:rPr>
          <w:u w:val="single"/>
        </w:rPr>
      </w:pPr>
      <w:r w:rsidRPr="00BE4D95">
        <w:rPr>
          <w:u w:val="single"/>
        </w:rPr>
        <w:t>Způsob zpracování nabídkové ceny</w:t>
      </w:r>
    </w:p>
    <w:p w14:paraId="7B7B47E1" w14:textId="77777777" w:rsidR="00811B4C" w:rsidRDefault="005C1A16" w:rsidP="00646BC3">
      <w:pPr>
        <w:pStyle w:val="Nadpis3"/>
        <w:ind w:left="1985"/>
      </w:pPr>
      <w:r w:rsidRPr="001549EC">
        <w:t>Nabídkovou cenu účastník v zadávacím řízení zpracuje v korunách českých</w:t>
      </w:r>
      <w:r w:rsidR="00480BA0">
        <w:t xml:space="preserve"> (Kč)</w:t>
      </w:r>
      <w:r w:rsidRPr="001549EC">
        <w:t xml:space="preserve"> a uvede cenu bez DPH (zaokrouhlenou na celé koruny).</w:t>
      </w:r>
    </w:p>
    <w:p w14:paraId="37D5D016" w14:textId="22CA979C" w:rsidR="00811B4C" w:rsidRPr="00811B4C" w:rsidRDefault="00811B4C" w:rsidP="00646BC3">
      <w:pPr>
        <w:pStyle w:val="Nadpis3"/>
        <w:ind w:left="1985"/>
      </w:pPr>
      <w:r w:rsidRPr="0011325E">
        <w:rPr>
          <w:b/>
          <w:bCs/>
        </w:rPr>
        <w:t>Cenová část nabídky bude podána odděleně od ostatních částí nabídky, a to prostřednictvím příslušné funkcionality elektronického nástroje E-ZAK</w:t>
      </w:r>
      <w:r w:rsidRPr="00811B4C">
        <w:t>.</w:t>
      </w:r>
    </w:p>
    <w:p w14:paraId="4CC5EF5E" w14:textId="050F0B0C" w:rsidR="00DC3867" w:rsidRPr="00DC3867" w:rsidRDefault="007A56A6" w:rsidP="00646BC3">
      <w:pPr>
        <w:pStyle w:val="Nadpis3"/>
        <w:ind w:left="1985"/>
      </w:pPr>
      <w:r w:rsidRPr="007A56A6">
        <w:t xml:space="preserve">Nabídková cena představuje </w:t>
      </w:r>
      <w:r w:rsidR="00BC7FDB" w:rsidRPr="00BC7FDB">
        <w:t xml:space="preserve">výši úplaty </w:t>
      </w:r>
      <w:r w:rsidRPr="007A56A6">
        <w:t>za celý předmět plnění veřejné zakázky</w:t>
      </w:r>
      <w:r>
        <w:t xml:space="preserve"> včetně všech souvisejících plnění</w:t>
      </w:r>
      <w:r w:rsidR="00480BA0">
        <w:t>. Nabídková cena</w:t>
      </w:r>
      <w:r w:rsidR="00BC7FDB">
        <w:t xml:space="preserve"> tedy </w:t>
      </w:r>
      <w:r w:rsidR="00480BA0">
        <w:t xml:space="preserve">představuje výši úplaty </w:t>
      </w:r>
      <w:r w:rsidR="00BC7FDB" w:rsidRPr="00BC7FDB">
        <w:t xml:space="preserve">za provedení všech činností nezbytných k dosažení finančního uzavření </w:t>
      </w:r>
      <w:r w:rsidR="00BC7FDB" w:rsidRPr="00792F13">
        <w:t>Projektu</w:t>
      </w:r>
      <w:r w:rsidR="006928EB" w:rsidRPr="00792F13">
        <w:t xml:space="preserve"> a za celou dobu  </w:t>
      </w:r>
      <w:r w:rsidR="00BC7FDB" w:rsidRPr="00792F13">
        <w:t xml:space="preserve">plnění veřejné zakázky (bez vyhrazené změny závazku dle </w:t>
      </w:r>
      <w:r w:rsidR="00EE3817" w:rsidRPr="00792F13">
        <w:t>článku 18.1. této zadávací dokumentace</w:t>
      </w:r>
      <w:r w:rsidR="00BC7FDB" w:rsidRPr="00792F13">
        <w:t>),</w:t>
      </w:r>
      <w:r w:rsidR="00BC7FDB" w:rsidRPr="00BC7FDB">
        <w:t xml:space="preserve"> včetně všech nákladů a výdajů, které dodavateli ve vztahu k realizaci veřejné zakázky vzniknou (explicitně </w:t>
      </w:r>
      <w:r w:rsidR="00772522">
        <w:t xml:space="preserve">např. </w:t>
      </w:r>
      <w:r w:rsidR="00BC7FDB" w:rsidRPr="00BC7FDB">
        <w:t xml:space="preserve">vč. cestovného, nákladů na ubytování a překladů z/do českého jazyka dle potřeb </w:t>
      </w:r>
      <w:r w:rsidR="00E73CBD">
        <w:t>z</w:t>
      </w:r>
      <w:r w:rsidR="00BC7FDB" w:rsidRPr="00BC7FDB">
        <w:t>adavatele</w:t>
      </w:r>
      <w:r w:rsidR="00E73CBD">
        <w:t>)</w:t>
      </w:r>
      <w:r w:rsidR="00BC7FDB" w:rsidRPr="00BC7FDB">
        <w:t>.</w:t>
      </w:r>
    </w:p>
    <w:p w14:paraId="7F30E900" w14:textId="547D2BCA" w:rsidR="00DC3867" w:rsidRPr="00DC3867" w:rsidRDefault="00DC3867" w:rsidP="00646BC3">
      <w:pPr>
        <w:pStyle w:val="Nadpis3"/>
        <w:ind w:left="1985"/>
        <w:rPr>
          <w:u w:color="394A58"/>
          <w:lang w:eastAsia="cs-CZ"/>
        </w:rPr>
      </w:pPr>
      <w:r w:rsidRPr="00DC3867">
        <w:rPr>
          <w:u w:color="394A58"/>
          <w:lang w:eastAsia="cs-CZ"/>
        </w:rPr>
        <w:lastRenderedPageBreak/>
        <w:t xml:space="preserve">Dodavatel uvede v nabídce výši nabídkové ceny bez DPH, a to pouze ve vztahu k těm částem plnění veřejné zakázky, které se netýkají vyhrazené změny závazku dle </w:t>
      </w:r>
      <w:r w:rsidR="00D71F2A">
        <w:rPr>
          <w:u w:color="394A58"/>
          <w:lang w:eastAsia="cs-CZ"/>
        </w:rPr>
        <w:t>článku</w:t>
      </w:r>
      <w:r w:rsidRPr="00DC3867">
        <w:rPr>
          <w:u w:color="394A58"/>
          <w:lang w:eastAsia="cs-CZ"/>
        </w:rPr>
        <w:t xml:space="preserve"> </w:t>
      </w:r>
      <w:r w:rsidR="009A3271">
        <w:rPr>
          <w:u w:color="394A58"/>
          <w:lang w:eastAsia="cs-CZ"/>
        </w:rPr>
        <w:t>18.1. této zadávací dokumetnace</w:t>
      </w:r>
      <w:r w:rsidRPr="00DC3867">
        <w:rPr>
          <w:u w:color="394A58"/>
          <w:lang w:eastAsia="cs-CZ"/>
        </w:rPr>
        <w:t>.</w:t>
      </w:r>
    </w:p>
    <w:p w14:paraId="6F9876C6" w14:textId="33905159" w:rsidR="005C1A16" w:rsidRPr="001549EC" w:rsidRDefault="00DC3867" w:rsidP="00646BC3">
      <w:pPr>
        <w:pStyle w:val="Nadpis3"/>
        <w:ind w:left="1985"/>
        <w:rPr>
          <w:u w:color="394A58"/>
          <w:lang w:eastAsia="cs-CZ"/>
        </w:rPr>
      </w:pPr>
      <w:r w:rsidRPr="00DC3867">
        <w:rPr>
          <w:u w:color="394A58"/>
          <w:lang w:eastAsia="cs-CZ"/>
        </w:rPr>
        <w:t xml:space="preserve">Nabídková cena bude stanovena za rozsah předmětu veřejné zakázky dle kapitoly </w:t>
      </w:r>
      <w:r w:rsidR="00E06650">
        <w:rPr>
          <w:u w:color="394A58"/>
          <w:lang w:eastAsia="cs-CZ"/>
        </w:rPr>
        <w:t>3 a kapitoly 4 této zadávací dokum</w:t>
      </w:r>
      <w:r w:rsidR="00D95485">
        <w:rPr>
          <w:u w:color="394A58"/>
          <w:lang w:eastAsia="cs-CZ"/>
        </w:rPr>
        <w:t>en</w:t>
      </w:r>
      <w:r w:rsidR="00E06650">
        <w:rPr>
          <w:u w:color="394A58"/>
          <w:lang w:eastAsia="cs-CZ"/>
        </w:rPr>
        <w:t>tace</w:t>
      </w:r>
      <w:r w:rsidRPr="00DC3867">
        <w:rPr>
          <w:u w:color="394A58"/>
          <w:lang w:eastAsia="cs-CZ"/>
        </w:rPr>
        <w:t>. Nabídková cena bude uvedena v členění bez DPH, samostatné vyčíslení DPH a včetně DPH podle následující tabulky, ve které Zadavatel zároveň stanoví maximální procenta z celkové nabídkové ceny pro jednotlivé milníky plnění předmětu veřejné zakázky, které je dodavatel povinen nepřekročit. Toto rozdělení následně bude využito pro možnost dílčích fakturací za poskytování služeb dle pravidel uvedených dále, resp. ve Smlouvě.</w:t>
      </w:r>
    </w:p>
    <w:p w14:paraId="09B95057" w14:textId="3D2595FD" w:rsidR="00DC3867" w:rsidRDefault="005C1A16" w:rsidP="00B76F25">
      <w:pPr>
        <w:pStyle w:val="Nadpis3"/>
        <w:spacing w:after="120"/>
      </w:pPr>
      <w:r w:rsidRPr="001549EC">
        <w:t xml:space="preserve"> </w:t>
      </w:r>
      <w:r w:rsidR="00DC3867" w:rsidRPr="00DC3867">
        <w:t>Rozdělení nabídkové ceny dle milníků Projektu</w:t>
      </w:r>
    </w:p>
    <w:tbl>
      <w:tblPr>
        <w:tblW w:w="6749"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6"/>
        <w:gridCol w:w="1134"/>
        <w:gridCol w:w="1984"/>
        <w:gridCol w:w="1985"/>
      </w:tblGrid>
      <w:tr w:rsidR="00DC3867" w14:paraId="16F852EC" w14:textId="77777777" w:rsidTr="00AE61FB">
        <w:trPr>
          <w:trHeight w:val="770"/>
        </w:trPr>
        <w:tc>
          <w:tcPr>
            <w:tcW w:w="1646" w:type="dxa"/>
            <w:shd w:val="clear" w:color="auto" w:fill="FFC000"/>
          </w:tcPr>
          <w:p w14:paraId="7BC73FCC"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Milníky plnění veřejné zakázky </w:t>
            </w:r>
          </w:p>
        </w:tc>
        <w:tc>
          <w:tcPr>
            <w:tcW w:w="1134" w:type="dxa"/>
            <w:shd w:val="clear" w:color="auto" w:fill="FFC000"/>
          </w:tcPr>
          <w:p w14:paraId="25E75CE3"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Cena v Kč bez DPH </w:t>
            </w:r>
          </w:p>
        </w:tc>
        <w:tc>
          <w:tcPr>
            <w:tcW w:w="1984" w:type="dxa"/>
            <w:shd w:val="clear" w:color="auto" w:fill="FFC000"/>
          </w:tcPr>
          <w:p w14:paraId="37E339F8"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Výše DPH </w:t>
            </w:r>
          </w:p>
          <w:p w14:paraId="2333C034" w14:textId="77777777" w:rsidR="00DC3867" w:rsidRPr="002047E4" w:rsidRDefault="00DC3867">
            <w:pPr>
              <w:pStyle w:val="Default"/>
              <w:rPr>
                <w:rFonts w:ascii="Verdana" w:hAnsi="Verdana"/>
                <w:sz w:val="16"/>
                <w:szCs w:val="16"/>
              </w:rPr>
            </w:pPr>
            <w:r w:rsidRPr="002047E4">
              <w:rPr>
                <w:rFonts w:ascii="Verdana" w:hAnsi="Verdana"/>
                <w:sz w:val="16"/>
                <w:szCs w:val="16"/>
              </w:rPr>
              <w:t xml:space="preserve">(sazba 21 %) </w:t>
            </w:r>
          </w:p>
        </w:tc>
        <w:tc>
          <w:tcPr>
            <w:tcW w:w="1985" w:type="dxa"/>
            <w:shd w:val="clear" w:color="auto" w:fill="FFC000"/>
          </w:tcPr>
          <w:p w14:paraId="13614DF4"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Cena včetně DPH </w:t>
            </w:r>
          </w:p>
        </w:tc>
      </w:tr>
      <w:tr w:rsidR="00DC3867" w14:paraId="2CE5CD20" w14:textId="77777777" w:rsidTr="00646BC3">
        <w:trPr>
          <w:trHeight w:val="857"/>
        </w:trPr>
        <w:tc>
          <w:tcPr>
            <w:tcW w:w="1646" w:type="dxa"/>
          </w:tcPr>
          <w:p w14:paraId="4F91F3F0"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Zahájení předkvalifikace </w:t>
            </w:r>
          </w:p>
          <w:p w14:paraId="2D480D9D" w14:textId="77777777" w:rsidR="00DC3867" w:rsidRPr="002047E4" w:rsidRDefault="00DC3867">
            <w:pPr>
              <w:pStyle w:val="Default"/>
              <w:rPr>
                <w:rFonts w:ascii="Verdana" w:hAnsi="Verdana"/>
                <w:sz w:val="16"/>
                <w:szCs w:val="16"/>
              </w:rPr>
            </w:pPr>
            <w:r w:rsidRPr="002047E4">
              <w:rPr>
                <w:rFonts w:ascii="Verdana" w:hAnsi="Verdana"/>
                <w:i/>
                <w:iCs/>
                <w:sz w:val="16"/>
                <w:szCs w:val="16"/>
              </w:rPr>
              <w:t>(</w:t>
            </w:r>
            <w:proofErr w:type="spellStart"/>
            <w:r w:rsidRPr="002047E4">
              <w:rPr>
                <w:rFonts w:ascii="Verdana" w:hAnsi="Verdana"/>
                <w:i/>
                <w:iCs/>
                <w:sz w:val="16"/>
                <w:szCs w:val="16"/>
              </w:rPr>
              <w:t>Commence</w:t>
            </w:r>
            <w:proofErr w:type="spellEnd"/>
            <w:r w:rsidRPr="002047E4">
              <w:rPr>
                <w:rFonts w:ascii="Verdana" w:hAnsi="Verdana"/>
                <w:i/>
                <w:iCs/>
                <w:sz w:val="16"/>
                <w:szCs w:val="16"/>
              </w:rPr>
              <w:t xml:space="preserve"> </w:t>
            </w:r>
            <w:proofErr w:type="spellStart"/>
            <w:r w:rsidRPr="002047E4">
              <w:rPr>
                <w:rFonts w:ascii="Verdana" w:hAnsi="Verdana"/>
                <w:i/>
                <w:iCs/>
                <w:sz w:val="16"/>
                <w:szCs w:val="16"/>
              </w:rPr>
              <w:t>pre-qualification</w:t>
            </w:r>
            <w:proofErr w:type="spellEnd"/>
            <w:r w:rsidRPr="002047E4">
              <w:rPr>
                <w:rFonts w:ascii="Verdana" w:hAnsi="Verdana"/>
                <w:i/>
                <w:iCs/>
                <w:sz w:val="16"/>
                <w:szCs w:val="16"/>
              </w:rPr>
              <w:t xml:space="preserve">) </w:t>
            </w:r>
          </w:p>
        </w:tc>
        <w:tc>
          <w:tcPr>
            <w:tcW w:w="1134" w:type="dxa"/>
          </w:tcPr>
          <w:p w14:paraId="403F0831" w14:textId="77777777" w:rsidR="00DC3867" w:rsidRPr="002047E4" w:rsidRDefault="00DC3867">
            <w:pPr>
              <w:pStyle w:val="Default"/>
              <w:rPr>
                <w:rFonts w:ascii="Verdana" w:hAnsi="Verdana"/>
                <w:sz w:val="16"/>
                <w:szCs w:val="16"/>
              </w:rPr>
            </w:pPr>
            <w:r w:rsidRPr="002047E4">
              <w:rPr>
                <w:rFonts w:ascii="Verdana" w:hAnsi="Verdana"/>
                <w:i/>
                <w:iCs/>
                <w:sz w:val="16"/>
                <w:szCs w:val="16"/>
              </w:rPr>
              <w:t xml:space="preserve">Max 15 % celkové nabídkové ceny </w:t>
            </w:r>
          </w:p>
        </w:tc>
        <w:tc>
          <w:tcPr>
            <w:tcW w:w="1984" w:type="dxa"/>
          </w:tcPr>
          <w:p w14:paraId="4D2A1691"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c>
          <w:tcPr>
            <w:tcW w:w="1985" w:type="dxa"/>
          </w:tcPr>
          <w:p w14:paraId="62B09F8D"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r>
      <w:tr w:rsidR="00DC3867" w14:paraId="5A4A76DA" w14:textId="77777777" w:rsidTr="00646BC3">
        <w:trPr>
          <w:trHeight w:val="871"/>
        </w:trPr>
        <w:tc>
          <w:tcPr>
            <w:tcW w:w="1646" w:type="dxa"/>
            <w:shd w:val="clear" w:color="auto" w:fill="F2F2F2" w:themeFill="background1" w:themeFillShade="F2"/>
          </w:tcPr>
          <w:p w14:paraId="06FB037E"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Vyhodnocení předkvalifikace </w:t>
            </w:r>
          </w:p>
          <w:p w14:paraId="66C1BB75" w14:textId="77777777" w:rsidR="00DC3867" w:rsidRPr="002047E4" w:rsidRDefault="00DC3867">
            <w:pPr>
              <w:pStyle w:val="Default"/>
              <w:rPr>
                <w:rFonts w:ascii="Verdana" w:hAnsi="Verdana"/>
                <w:sz w:val="16"/>
                <w:szCs w:val="16"/>
              </w:rPr>
            </w:pPr>
            <w:r w:rsidRPr="002047E4">
              <w:rPr>
                <w:rFonts w:ascii="Verdana" w:hAnsi="Verdana"/>
                <w:i/>
                <w:iCs/>
                <w:sz w:val="16"/>
                <w:szCs w:val="16"/>
              </w:rPr>
              <w:t>(</w:t>
            </w:r>
            <w:proofErr w:type="spellStart"/>
            <w:r w:rsidRPr="002047E4">
              <w:rPr>
                <w:rFonts w:ascii="Verdana" w:hAnsi="Verdana"/>
                <w:i/>
                <w:iCs/>
                <w:sz w:val="16"/>
                <w:szCs w:val="16"/>
              </w:rPr>
              <w:t>Pre-qualification</w:t>
            </w:r>
            <w:proofErr w:type="spellEnd"/>
            <w:r w:rsidRPr="002047E4">
              <w:rPr>
                <w:rFonts w:ascii="Verdana" w:hAnsi="Verdana"/>
                <w:i/>
                <w:iCs/>
                <w:sz w:val="16"/>
                <w:szCs w:val="16"/>
              </w:rPr>
              <w:t xml:space="preserve"> </w:t>
            </w:r>
            <w:proofErr w:type="spellStart"/>
            <w:r w:rsidRPr="002047E4">
              <w:rPr>
                <w:rFonts w:ascii="Verdana" w:hAnsi="Verdana"/>
                <w:i/>
                <w:iCs/>
                <w:sz w:val="16"/>
                <w:szCs w:val="16"/>
              </w:rPr>
              <w:t>announced</w:t>
            </w:r>
            <w:proofErr w:type="spellEnd"/>
            <w:r w:rsidRPr="002047E4">
              <w:rPr>
                <w:rFonts w:ascii="Verdana" w:hAnsi="Verdana"/>
                <w:i/>
                <w:iCs/>
                <w:sz w:val="16"/>
                <w:szCs w:val="16"/>
              </w:rPr>
              <w:t xml:space="preserve">) </w:t>
            </w:r>
          </w:p>
        </w:tc>
        <w:tc>
          <w:tcPr>
            <w:tcW w:w="1134" w:type="dxa"/>
            <w:shd w:val="clear" w:color="auto" w:fill="F2F2F2" w:themeFill="background1" w:themeFillShade="F2"/>
          </w:tcPr>
          <w:p w14:paraId="31416AAB" w14:textId="77777777" w:rsidR="00DC3867" w:rsidRPr="002047E4" w:rsidRDefault="00DC3867">
            <w:pPr>
              <w:pStyle w:val="Default"/>
              <w:rPr>
                <w:rFonts w:ascii="Verdana" w:hAnsi="Verdana"/>
                <w:sz w:val="16"/>
                <w:szCs w:val="16"/>
              </w:rPr>
            </w:pPr>
            <w:r w:rsidRPr="002047E4">
              <w:rPr>
                <w:rFonts w:ascii="Verdana" w:hAnsi="Verdana"/>
                <w:i/>
                <w:iCs/>
                <w:sz w:val="16"/>
                <w:szCs w:val="16"/>
              </w:rPr>
              <w:t xml:space="preserve">Max 20 % celkové nabídkové ceny </w:t>
            </w:r>
          </w:p>
        </w:tc>
        <w:tc>
          <w:tcPr>
            <w:tcW w:w="1984" w:type="dxa"/>
            <w:shd w:val="clear" w:color="auto" w:fill="F2F2F2" w:themeFill="background1" w:themeFillShade="F2"/>
          </w:tcPr>
          <w:p w14:paraId="35A602EE"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c>
          <w:tcPr>
            <w:tcW w:w="1985" w:type="dxa"/>
            <w:shd w:val="clear" w:color="auto" w:fill="F2F2F2" w:themeFill="background1" w:themeFillShade="F2"/>
          </w:tcPr>
          <w:p w14:paraId="3CCB3203"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r>
      <w:tr w:rsidR="00DC3867" w14:paraId="74510526" w14:textId="77777777" w:rsidTr="00646BC3">
        <w:trPr>
          <w:trHeight w:val="235"/>
        </w:trPr>
        <w:tc>
          <w:tcPr>
            <w:tcW w:w="1646" w:type="dxa"/>
          </w:tcPr>
          <w:p w14:paraId="75BE7A42"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Soutěžní dialog </w:t>
            </w:r>
          </w:p>
          <w:p w14:paraId="276539DA" w14:textId="77777777" w:rsidR="00DC3867" w:rsidRPr="002047E4" w:rsidRDefault="00DC3867">
            <w:pPr>
              <w:pStyle w:val="Default"/>
              <w:rPr>
                <w:rFonts w:ascii="Verdana" w:hAnsi="Verdana"/>
                <w:sz w:val="16"/>
                <w:szCs w:val="16"/>
              </w:rPr>
            </w:pPr>
            <w:r w:rsidRPr="002047E4">
              <w:rPr>
                <w:rFonts w:ascii="Verdana" w:hAnsi="Verdana"/>
                <w:i/>
                <w:iCs/>
                <w:sz w:val="16"/>
                <w:szCs w:val="16"/>
              </w:rPr>
              <w:t>(</w:t>
            </w:r>
            <w:proofErr w:type="spellStart"/>
            <w:r w:rsidRPr="002047E4">
              <w:rPr>
                <w:rFonts w:ascii="Verdana" w:hAnsi="Verdana"/>
                <w:i/>
                <w:iCs/>
                <w:sz w:val="16"/>
                <w:szCs w:val="16"/>
              </w:rPr>
              <w:t>Competitive</w:t>
            </w:r>
            <w:proofErr w:type="spellEnd"/>
            <w:r w:rsidRPr="002047E4">
              <w:rPr>
                <w:rFonts w:ascii="Verdana" w:hAnsi="Verdana"/>
                <w:i/>
                <w:iCs/>
                <w:sz w:val="16"/>
                <w:szCs w:val="16"/>
              </w:rPr>
              <w:t xml:space="preserve"> </w:t>
            </w:r>
            <w:proofErr w:type="spellStart"/>
            <w:r w:rsidRPr="002047E4">
              <w:rPr>
                <w:rFonts w:ascii="Verdana" w:hAnsi="Verdana"/>
                <w:i/>
                <w:iCs/>
                <w:sz w:val="16"/>
                <w:szCs w:val="16"/>
              </w:rPr>
              <w:t>dialogue</w:t>
            </w:r>
            <w:proofErr w:type="spellEnd"/>
            <w:r w:rsidRPr="002047E4">
              <w:rPr>
                <w:rFonts w:ascii="Verdana" w:hAnsi="Verdana"/>
                <w:i/>
                <w:iCs/>
                <w:sz w:val="16"/>
                <w:szCs w:val="16"/>
              </w:rPr>
              <w:t xml:space="preserve">) </w:t>
            </w:r>
          </w:p>
        </w:tc>
        <w:tc>
          <w:tcPr>
            <w:tcW w:w="1134" w:type="dxa"/>
          </w:tcPr>
          <w:p w14:paraId="71692E0B" w14:textId="77777777" w:rsidR="00DC3867" w:rsidRPr="002047E4" w:rsidRDefault="00DC3867">
            <w:pPr>
              <w:pStyle w:val="Default"/>
              <w:rPr>
                <w:rFonts w:ascii="Verdana" w:hAnsi="Verdana"/>
                <w:sz w:val="16"/>
                <w:szCs w:val="16"/>
              </w:rPr>
            </w:pPr>
            <w:r w:rsidRPr="002047E4">
              <w:rPr>
                <w:rFonts w:ascii="Verdana" w:hAnsi="Verdana"/>
                <w:i/>
                <w:iCs/>
                <w:sz w:val="16"/>
                <w:szCs w:val="16"/>
              </w:rPr>
              <w:t xml:space="preserve">Max 35 % celkové nabídkové ceny </w:t>
            </w:r>
          </w:p>
        </w:tc>
        <w:tc>
          <w:tcPr>
            <w:tcW w:w="1984" w:type="dxa"/>
          </w:tcPr>
          <w:p w14:paraId="6B1851A2"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c>
          <w:tcPr>
            <w:tcW w:w="1985" w:type="dxa"/>
          </w:tcPr>
          <w:p w14:paraId="1F009496"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r>
      <w:tr w:rsidR="00DC3867" w14:paraId="442DFFBE" w14:textId="77777777" w:rsidTr="00646BC3">
        <w:trPr>
          <w:trHeight w:val="827"/>
        </w:trPr>
        <w:tc>
          <w:tcPr>
            <w:tcW w:w="1646" w:type="dxa"/>
            <w:shd w:val="clear" w:color="auto" w:fill="F2F2F2" w:themeFill="background1" w:themeFillShade="F2"/>
          </w:tcPr>
          <w:p w14:paraId="633F67A8"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Výzva k podání nabídek </w:t>
            </w:r>
          </w:p>
          <w:p w14:paraId="127884C1" w14:textId="77777777" w:rsidR="00DC3867" w:rsidRPr="002047E4" w:rsidRDefault="00DC3867">
            <w:pPr>
              <w:pStyle w:val="Default"/>
              <w:rPr>
                <w:rFonts w:ascii="Verdana" w:hAnsi="Verdana"/>
                <w:sz w:val="16"/>
                <w:szCs w:val="16"/>
              </w:rPr>
            </w:pPr>
            <w:r w:rsidRPr="002047E4">
              <w:rPr>
                <w:rFonts w:ascii="Verdana" w:hAnsi="Verdana"/>
                <w:i/>
                <w:iCs/>
                <w:sz w:val="16"/>
                <w:szCs w:val="16"/>
              </w:rPr>
              <w:t>(</w:t>
            </w:r>
            <w:proofErr w:type="spellStart"/>
            <w:r w:rsidRPr="002047E4">
              <w:rPr>
                <w:rFonts w:ascii="Verdana" w:hAnsi="Verdana"/>
                <w:i/>
                <w:iCs/>
                <w:sz w:val="16"/>
                <w:szCs w:val="16"/>
              </w:rPr>
              <w:t>Bidding</w:t>
            </w:r>
            <w:proofErr w:type="spellEnd"/>
            <w:r w:rsidRPr="002047E4">
              <w:rPr>
                <w:rFonts w:ascii="Verdana" w:hAnsi="Verdana"/>
                <w:i/>
                <w:iCs/>
                <w:sz w:val="16"/>
                <w:szCs w:val="16"/>
              </w:rPr>
              <w:t xml:space="preserve"> </w:t>
            </w:r>
            <w:proofErr w:type="spellStart"/>
            <w:r w:rsidRPr="002047E4">
              <w:rPr>
                <w:rFonts w:ascii="Verdana" w:hAnsi="Verdana"/>
                <w:i/>
                <w:iCs/>
                <w:sz w:val="16"/>
                <w:szCs w:val="16"/>
              </w:rPr>
              <w:t>commenced</w:t>
            </w:r>
            <w:proofErr w:type="spellEnd"/>
            <w:r w:rsidRPr="002047E4">
              <w:rPr>
                <w:rFonts w:ascii="Verdana" w:hAnsi="Verdana"/>
                <w:i/>
                <w:iCs/>
                <w:sz w:val="16"/>
                <w:szCs w:val="16"/>
              </w:rPr>
              <w:t xml:space="preserve">) </w:t>
            </w:r>
          </w:p>
        </w:tc>
        <w:tc>
          <w:tcPr>
            <w:tcW w:w="1134" w:type="dxa"/>
            <w:shd w:val="clear" w:color="auto" w:fill="F2F2F2" w:themeFill="background1" w:themeFillShade="F2"/>
          </w:tcPr>
          <w:p w14:paraId="3489A918" w14:textId="77777777" w:rsidR="00DC3867" w:rsidRPr="002047E4" w:rsidRDefault="00DC3867">
            <w:pPr>
              <w:pStyle w:val="Default"/>
              <w:rPr>
                <w:rFonts w:ascii="Verdana" w:hAnsi="Verdana"/>
                <w:sz w:val="16"/>
                <w:szCs w:val="16"/>
              </w:rPr>
            </w:pPr>
            <w:r w:rsidRPr="002047E4">
              <w:rPr>
                <w:rFonts w:ascii="Verdana" w:hAnsi="Verdana"/>
                <w:i/>
                <w:iCs/>
                <w:sz w:val="16"/>
                <w:szCs w:val="16"/>
              </w:rPr>
              <w:t xml:space="preserve">Max 20 % celkové nabídkové ceny </w:t>
            </w:r>
          </w:p>
        </w:tc>
        <w:tc>
          <w:tcPr>
            <w:tcW w:w="1984" w:type="dxa"/>
            <w:shd w:val="clear" w:color="auto" w:fill="F2F2F2" w:themeFill="background1" w:themeFillShade="F2"/>
          </w:tcPr>
          <w:p w14:paraId="2028D46A"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c>
          <w:tcPr>
            <w:tcW w:w="1985" w:type="dxa"/>
            <w:shd w:val="clear" w:color="auto" w:fill="F2F2F2" w:themeFill="background1" w:themeFillShade="F2"/>
          </w:tcPr>
          <w:p w14:paraId="5969A00D"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r>
      <w:tr w:rsidR="00DC3867" w14:paraId="601449D9" w14:textId="77777777" w:rsidTr="00646BC3">
        <w:trPr>
          <w:trHeight w:val="235"/>
        </w:trPr>
        <w:tc>
          <w:tcPr>
            <w:tcW w:w="1646" w:type="dxa"/>
          </w:tcPr>
          <w:p w14:paraId="33B900E1"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Nabídky vyhodnoceny </w:t>
            </w:r>
          </w:p>
          <w:p w14:paraId="5B637DF2" w14:textId="77777777" w:rsidR="00DC3867" w:rsidRPr="002047E4" w:rsidRDefault="00DC3867">
            <w:pPr>
              <w:pStyle w:val="Default"/>
              <w:rPr>
                <w:rFonts w:ascii="Verdana" w:hAnsi="Verdana"/>
                <w:sz w:val="16"/>
                <w:szCs w:val="16"/>
              </w:rPr>
            </w:pPr>
            <w:r w:rsidRPr="002047E4">
              <w:rPr>
                <w:rFonts w:ascii="Verdana" w:hAnsi="Verdana"/>
                <w:i/>
                <w:iCs/>
                <w:sz w:val="16"/>
                <w:szCs w:val="16"/>
              </w:rPr>
              <w:t>(</w:t>
            </w:r>
            <w:proofErr w:type="spellStart"/>
            <w:r w:rsidRPr="002047E4">
              <w:rPr>
                <w:rFonts w:ascii="Verdana" w:hAnsi="Verdana"/>
                <w:i/>
                <w:iCs/>
                <w:sz w:val="16"/>
                <w:szCs w:val="16"/>
              </w:rPr>
              <w:t>Award</w:t>
            </w:r>
            <w:proofErr w:type="spellEnd"/>
            <w:r w:rsidRPr="002047E4">
              <w:rPr>
                <w:rFonts w:ascii="Verdana" w:hAnsi="Verdana"/>
                <w:i/>
                <w:iCs/>
                <w:sz w:val="16"/>
                <w:szCs w:val="16"/>
              </w:rPr>
              <w:t xml:space="preserve">) </w:t>
            </w:r>
          </w:p>
        </w:tc>
        <w:tc>
          <w:tcPr>
            <w:tcW w:w="1134" w:type="dxa"/>
          </w:tcPr>
          <w:p w14:paraId="12E38E53" w14:textId="77777777" w:rsidR="00DC3867" w:rsidRPr="002047E4" w:rsidRDefault="00DC3867">
            <w:pPr>
              <w:pStyle w:val="Default"/>
              <w:rPr>
                <w:rFonts w:ascii="Verdana" w:hAnsi="Verdana"/>
                <w:sz w:val="16"/>
                <w:szCs w:val="16"/>
              </w:rPr>
            </w:pPr>
            <w:r w:rsidRPr="002047E4">
              <w:rPr>
                <w:rFonts w:ascii="Verdana" w:hAnsi="Verdana"/>
                <w:i/>
                <w:iCs/>
                <w:sz w:val="16"/>
                <w:szCs w:val="16"/>
              </w:rPr>
              <w:t xml:space="preserve">Max 20 % celkové nabídkové ceny </w:t>
            </w:r>
          </w:p>
        </w:tc>
        <w:tc>
          <w:tcPr>
            <w:tcW w:w="1984" w:type="dxa"/>
          </w:tcPr>
          <w:p w14:paraId="3ED7BEB9"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c>
          <w:tcPr>
            <w:tcW w:w="1985" w:type="dxa"/>
          </w:tcPr>
          <w:p w14:paraId="75BC9E5D"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r>
      <w:tr w:rsidR="00DC3867" w14:paraId="4162A7D6" w14:textId="77777777" w:rsidTr="00646BC3">
        <w:trPr>
          <w:trHeight w:val="235"/>
        </w:trPr>
        <w:tc>
          <w:tcPr>
            <w:tcW w:w="1646" w:type="dxa"/>
            <w:shd w:val="clear" w:color="auto" w:fill="F2F2F2" w:themeFill="background1" w:themeFillShade="F2"/>
          </w:tcPr>
          <w:p w14:paraId="0561F19D" w14:textId="77777777" w:rsidR="00DC3867" w:rsidRPr="002047E4" w:rsidRDefault="00DC3867">
            <w:pPr>
              <w:pStyle w:val="Default"/>
              <w:rPr>
                <w:rFonts w:ascii="Verdana" w:hAnsi="Verdana"/>
                <w:sz w:val="16"/>
                <w:szCs w:val="16"/>
              </w:rPr>
            </w:pPr>
            <w:r w:rsidRPr="002047E4">
              <w:rPr>
                <w:rFonts w:ascii="Verdana" w:hAnsi="Verdana"/>
                <w:b/>
                <w:bCs/>
                <w:sz w:val="16"/>
                <w:szCs w:val="16"/>
              </w:rPr>
              <w:t xml:space="preserve">Finanční uzavření </w:t>
            </w:r>
          </w:p>
          <w:p w14:paraId="197EB71B" w14:textId="77777777" w:rsidR="00DC3867" w:rsidRPr="002047E4" w:rsidRDefault="00DC3867">
            <w:pPr>
              <w:pStyle w:val="Default"/>
              <w:rPr>
                <w:rFonts w:ascii="Verdana" w:hAnsi="Verdana"/>
                <w:sz w:val="16"/>
                <w:szCs w:val="16"/>
              </w:rPr>
            </w:pPr>
            <w:r w:rsidRPr="002047E4">
              <w:rPr>
                <w:rFonts w:ascii="Verdana" w:hAnsi="Verdana"/>
                <w:i/>
                <w:iCs/>
                <w:sz w:val="16"/>
                <w:szCs w:val="16"/>
              </w:rPr>
              <w:t>(</w:t>
            </w:r>
            <w:proofErr w:type="spellStart"/>
            <w:r w:rsidRPr="002047E4">
              <w:rPr>
                <w:rFonts w:ascii="Verdana" w:hAnsi="Verdana"/>
                <w:i/>
                <w:iCs/>
                <w:sz w:val="16"/>
                <w:szCs w:val="16"/>
              </w:rPr>
              <w:t>Financial</w:t>
            </w:r>
            <w:proofErr w:type="spellEnd"/>
            <w:r w:rsidRPr="002047E4">
              <w:rPr>
                <w:rFonts w:ascii="Verdana" w:hAnsi="Verdana"/>
                <w:i/>
                <w:iCs/>
                <w:sz w:val="16"/>
                <w:szCs w:val="16"/>
              </w:rPr>
              <w:t xml:space="preserve"> </w:t>
            </w:r>
            <w:proofErr w:type="spellStart"/>
            <w:r w:rsidRPr="002047E4">
              <w:rPr>
                <w:rFonts w:ascii="Verdana" w:hAnsi="Verdana"/>
                <w:i/>
                <w:iCs/>
                <w:sz w:val="16"/>
                <w:szCs w:val="16"/>
              </w:rPr>
              <w:t>close</w:t>
            </w:r>
            <w:proofErr w:type="spellEnd"/>
            <w:r w:rsidRPr="002047E4">
              <w:rPr>
                <w:rFonts w:ascii="Verdana" w:hAnsi="Verdana"/>
                <w:i/>
                <w:iCs/>
                <w:sz w:val="16"/>
                <w:szCs w:val="16"/>
              </w:rPr>
              <w:t xml:space="preserve">) </w:t>
            </w:r>
          </w:p>
        </w:tc>
        <w:tc>
          <w:tcPr>
            <w:tcW w:w="1134" w:type="dxa"/>
            <w:shd w:val="clear" w:color="auto" w:fill="F2F2F2" w:themeFill="background1" w:themeFillShade="F2"/>
          </w:tcPr>
          <w:p w14:paraId="2D433A96" w14:textId="77777777" w:rsidR="00DC3867" w:rsidRPr="002047E4" w:rsidRDefault="00DC3867">
            <w:pPr>
              <w:pStyle w:val="Default"/>
              <w:rPr>
                <w:rFonts w:ascii="Verdana" w:hAnsi="Verdana"/>
                <w:sz w:val="16"/>
                <w:szCs w:val="16"/>
              </w:rPr>
            </w:pPr>
            <w:r w:rsidRPr="002047E4">
              <w:rPr>
                <w:rFonts w:ascii="Verdana" w:hAnsi="Verdana"/>
                <w:i/>
                <w:iCs/>
                <w:sz w:val="16"/>
                <w:szCs w:val="16"/>
              </w:rPr>
              <w:t xml:space="preserve">Max 20 % celkové nabídkové ceny </w:t>
            </w:r>
          </w:p>
        </w:tc>
        <w:tc>
          <w:tcPr>
            <w:tcW w:w="1984" w:type="dxa"/>
            <w:shd w:val="clear" w:color="auto" w:fill="F2F2F2" w:themeFill="background1" w:themeFillShade="F2"/>
          </w:tcPr>
          <w:p w14:paraId="072B53AE"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c>
          <w:tcPr>
            <w:tcW w:w="1985" w:type="dxa"/>
            <w:shd w:val="clear" w:color="auto" w:fill="F2F2F2" w:themeFill="background1" w:themeFillShade="F2"/>
          </w:tcPr>
          <w:p w14:paraId="2435DCC1" w14:textId="77777777" w:rsidR="00DC3867" w:rsidRPr="002047E4" w:rsidRDefault="00DC3867">
            <w:pPr>
              <w:pStyle w:val="Default"/>
              <w:rPr>
                <w:rFonts w:ascii="Verdana" w:hAnsi="Verdana"/>
                <w:sz w:val="16"/>
                <w:szCs w:val="16"/>
              </w:rPr>
            </w:pPr>
            <w:r w:rsidRPr="002047E4">
              <w:rPr>
                <w:rFonts w:ascii="Verdana" w:hAnsi="Verdana"/>
                <w:sz w:val="16"/>
                <w:szCs w:val="16"/>
              </w:rPr>
              <w:t>[</w:t>
            </w:r>
            <w:r w:rsidRPr="002047E4">
              <w:rPr>
                <w:rFonts w:ascii="Verdana" w:hAnsi="Verdana"/>
                <w:b/>
                <w:bCs/>
                <w:color w:val="auto"/>
                <w:sz w:val="16"/>
                <w:szCs w:val="16"/>
                <w:highlight w:val="yellow"/>
              </w:rPr>
              <w:t>Vyplní dodavatel v rámci nabídky</w:t>
            </w:r>
            <w:r w:rsidRPr="002047E4">
              <w:rPr>
                <w:rFonts w:ascii="Verdana" w:hAnsi="Verdana"/>
                <w:sz w:val="16"/>
                <w:szCs w:val="16"/>
              </w:rPr>
              <w:t xml:space="preserve">] </w:t>
            </w:r>
          </w:p>
        </w:tc>
      </w:tr>
    </w:tbl>
    <w:p w14:paraId="2FCF8F33" w14:textId="4054A805" w:rsidR="00080C52" w:rsidRDefault="00080C52" w:rsidP="00080C52">
      <w:pPr>
        <w:ind w:left="1985"/>
        <w:jc w:val="both"/>
      </w:pPr>
      <w:r w:rsidRPr="00080C52">
        <w:t>Zadavatel si je vědom, že součet limitních procent v tabulce přesahuje 100</w:t>
      </w:r>
      <w:r>
        <w:t> </w:t>
      </w:r>
      <w:r w:rsidRPr="00080C52">
        <w:t xml:space="preserve">%. Nastavené limitní hodnoty za jednotlivé milníky jsou </w:t>
      </w:r>
      <w:r>
        <w:t>stanoveny</w:t>
      </w:r>
      <w:r w:rsidRPr="00080C52">
        <w:t xml:space="preserve"> jako maximální pro umožnění flexibility v tvorbě nabídkové ceny a její rozložení mezi jednotlivé milníky a jsou </w:t>
      </w:r>
      <w:r>
        <w:t>stanoveny</w:t>
      </w:r>
      <w:r w:rsidRPr="00080C52">
        <w:t xml:space="preserve"> pouze jako maximální a nepřekročitelné, určené k vyplnění dodavatelem.</w:t>
      </w:r>
      <w:r>
        <w:t xml:space="preserve"> Součet dílčích cen za jednotlivé milníky, zpracovaný dodavatelem v nabídce, musí odpovídat 100 % nabídkové ceny.</w:t>
      </w:r>
    </w:p>
    <w:p w14:paraId="48B55D6F" w14:textId="63BB394D" w:rsidR="00080C52" w:rsidRDefault="00080C52" w:rsidP="00080C52">
      <w:pPr>
        <w:ind w:left="1985"/>
        <w:jc w:val="both"/>
      </w:pPr>
      <w:r w:rsidRPr="00792F13">
        <w:t xml:space="preserve">Dodavatel vyplní do </w:t>
      </w:r>
      <w:r w:rsidR="00D13ECC" w:rsidRPr="00792F13">
        <w:t xml:space="preserve">Přílohy č. 7 zadávací dokumentace, která zároveň tvoří </w:t>
      </w:r>
      <w:r w:rsidRPr="00792F13">
        <w:t>Příloh</w:t>
      </w:r>
      <w:r w:rsidR="00D13ECC" w:rsidRPr="00792F13">
        <w:t>u</w:t>
      </w:r>
      <w:r w:rsidRPr="00792F13">
        <w:t xml:space="preserve"> č. 2 Smlouvy podrobný</w:t>
      </w:r>
      <w:r w:rsidRPr="0077296A">
        <w:t xml:space="preserve"> rozklad </w:t>
      </w:r>
      <w:r w:rsidRPr="0077296A">
        <w:rPr>
          <w:b/>
          <w:bCs/>
        </w:rPr>
        <w:t xml:space="preserve">nabídkové ceny mezi jednotlivé milníky a </w:t>
      </w:r>
      <w:r w:rsidR="00A54851" w:rsidRPr="0077296A">
        <w:rPr>
          <w:b/>
          <w:bCs/>
        </w:rPr>
        <w:t>členy realizačního týmu</w:t>
      </w:r>
      <w:r w:rsidRPr="0077296A">
        <w:t xml:space="preserve"> a to tak, že u každého experta uvede </w:t>
      </w:r>
      <w:r w:rsidRPr="0077296A">
        <w:lastRenderedPageBreak/>
        <w:t xml:space="preserve">sazbu za člověkoden v Kč bez DPH a uvede předpokládaný rozsah zapojení tohoto experta do činnosti realizačního týmu (v člověkodnech). Součet násobků sazby za člověkoden a rozsahu člověkodní jednotlivých expertů pak musí odpovídat celkové nabídkové ceně veřejné zakázky bez DPH, a to celkově i v jednotlivých milnících. Zadavatel využije této </w:t>
      </w:r>
      <w:r w:rsidRPr="00792F13">
        <w:t>Příloh</w:t>
      </w:r>
      <w:r w:rsidR="00A54851" w:rsidRPr="00792F13">
        <w:t>y</w:t>
      </w:r>
      <w:r w:rsidRPr="00792F13">
        <w:t xml:space="preserve"> č. 2 Smlouvy</w:t>
      </w:r>
      <w:r w:rsidRPr="0077296A">
        <w:t xml:space="preserve"> při kontrole akceptačního protokolu, který je podkladem pro fakturaci dle fakturačních podmínek</w:t>
      </w:r>
      <w:r>
        <w:t xml:space="preserve"> uvedených v návrhu Smlouvy (celkový fakturovaný počet člověkodní za jednotlivé osoby v jednotlivých milnících nesmí přesáhnout počet člověkodní, které jsou za danou osobu a daný milník uveden v Příloha č. 2 Smlouvy).</w:t>
      </w:r>
    </w:p>
    <w:p w14:paraId="70CE5738" w14:textId="77777777" w:rsidR="00080C52" w:rsidRDefault="00080C52" w:rsidP="00080C52">
      <w:pPr>
        <w:ind w:left="1985"/>
        <w:jc w:val="both"/>
      </w:pPr>
      <w:r>
        <w:t>Celková nabídková cena je hodnotícím kritériem nabídek předkládaných v rámci tohoto zadávacího řízení. Pro vyloučení všech pochybností Zadavatel explicitně uvádí, že procentuální rozdělení nabídkové ceny do jednotlivých milníků dle výše uvedené tabulky ani sazby jednotlivých expertů nebudou předmětem hodnocení nabídek.</w:t>
      </w:r>
    </w:p>
    <w:p w14:paraId="1B784EFD" w14:textId="689DAEC3" w:rsidR="00080C52" w:rsidRDefault="00080C52" w:rsidP="00080C52">
      <w:pPr>
        <w:ind w:left="1985"/>
        <w:jc w:val="both"/>
        <w:rPr>
          <w:b/>
          <w:bCs/>
        </w:rPr>
      </w:pPr>
      <w:r w:rsidRPr="00CA7343">
        <w:rPr>
          <w:b/>
          <w:bCs/>
        </w:rPr>
        <w:t>Dodavatel</w:t>
      </w:r>
      <w:r w:rsidR="00E50214">
        <w:rPr>
          <w:b/>
          <w:bCs/>
        </w:rPr>
        <w:t>em</w:t>
      </w:r>
      <w:r w:rsidRPr="00CA7343">
        <w:rPr>
          <w:b/>
          <w:bCs/>
        </w:rPr>
        <w:t xml:space="preserve"> nabídnutý rozsah zapojení jednotlivých expertů musí respektovat náročnost jednotlivých fází. Rozsah zapojení jednotlivých expertů je zároveň využit v rámci výpočtu hodnotícího kritéria.</w:t>
      </w:r>
    </w:p>
    <w:p w14:paraId="23D9E312" w14:textId="098CF413" w:rsidR="00E45BA1" w:rsidRPr="00E45BA1" w:rsidRDefault="00E45BA1" w:rsidP="00E45BA1">
      <w:pPr>
        <w:pStyle w:val="Default"/>
        <w:spacing w:after="120"/>
        <w:ind w:left="1985"/>
        <w:jc w:val="both"/>
        <w:rPr>
          <w:rFonts w:ascii="Verdana" w:hAnsi="Verdana"/>
          <w:sz w:val="18"/>
          <w:szCs w:val="18"/>
        </w:rPr>
      </w:pPr>
      <w:r w:rsidRPr="00E45BA1">
        <w:rPr>
          <w:rFonts w:ascii="Verdana" w:hAnsi="Verdana"/>
          <w:sz w:val="18"/>
          <w:szCs w:val="18"/>
        </w:rPr>
        <w:t xml:space="preserve">Zadavatel </w:t>
      </w:r>
      <w:r w:rsidRPr="00792F13">
        <w:rPr>
          <w:rFonts w:ascii="Verdana" w:hAnsi="Verdana"/>
          <w:sz w:val="18"/>
          <w:szCs w:val="18"/>
        </w:rPr>
        <w:t xml:space="preserve">v odstavci 3.1. </w:t>
      </w:r>
      <w:r w:rsidR="00AB5EC4" w:rsidRPr="00792F13">
        <w:rPr>
          <w:rFonts w:ascii="Verdana" w:hAnsi="Verdana"/>
          <w:sz w:val="18"/>
          <w:szCs w:val="18"/>
        </w:rPr>
        <w:t>této</w:t>
      </w:r>
      <w:r w:rsidR="00AB5EC4">
        <w:rPr>
          <w:rFonts w:ascii="Verdana" w:hAnsi="Verdana"/>
          <w:sz w:val="18"/>
          <w:szCs w:val="18"/>
        </w:rPr>
        <w:t xml:space="preserve"> zadávací dokumentace</w:t>
      </w:r>
      <w:r w:rsidRPr="00E45BA1">
        <w:rPr>
          <w:rFonts w:ascii="Verdana" w:hAnsi="Verdana"/>
          <w:sz w:val="18"/>
          <w:szCs w:val="18"/>
        </w:rPr>
        <w:t xml:space="preserve"> konstatuje, že platné znění ZZVZ umožňuje v řízení se soutěžním dialogem omezovat počty účastníků zadávacího řízení. Zadavatel předpokládá omezení počtu účastníků o roli koncesionáře, s nimiž bude dále jednáno v soutěžním dialogu, na počet 4 účastníků zadávacího řízení. V případě, že by požadovanou kvalifikaci úspěšně splnil nižší počet účastníků zadávacího řízení či se </w:t>
      </w:r>
      <w:r w:rsidR="00592589">
        <w:rPr>
          <w:rFonts w:ascii="Verdana" w:hAnsi="Verdana"/>
          <w:sz w:val="18"/>
          <w:szCs w:val="18"/>
        </w:rPr>
        <w:t>z</w:t>
      </w:r>
      <w:r w:rsidRPr="00E45BA1">
        <w:rPr>
          <w:rFonts w:ascii="Verdana" w:hAnsi="Verdana"/>
          <w:sz w:val="18"/>
          <w:szCs w:val="18"/>
        </w:rPr>
        <w:t>adavatel rozhodl pro účast nižšího počtu dodavatelů v soutěžním dialogu, cena za poskytnuté služby vybranému dodavateli bude vyměřena dle pravidel uvedených v tomto článku. Zadavatel nepřipouští, že by soutěžní dialog byl veden s více účastníky z důvodů časové a procesní náročnosti soutěžního dialogu. Svým charakterem se jedná o vyhrazenou změnu závazku dle §</w:t>
      </w:r>
      <w:r>
        <w:rPr>
          <w:rFonts w:ascii="Verdana" w:hAnsi="Verdana"/>
          <w:sz w:val="18"/>
          <w:szCs w:val="18"/>
        </w:rPr>
        <w:t xml:space="preserve"> </w:t>
      </w:r>
      <w:r w:rsidRPr="00E45BA1">
        <w:rPr>
          <w:rFonts w:ascii="Verdana" w:hAnsi="Verdana"/>
          <w:sz w:val="18"/>
          <w:szCs w:val="18"/>
        </w:rPr>
        <w:t>100 odst. 1 ZZVZ.</w:t>
      </w:r>
    </w:p>
    <w:p w14:paraId="18B91AA1" w14:textId="0A596335" w:rsidR="00E45BA1" w:rsidRPr="00E45BA1" w:rsidRDefault="00E45BA1" w:rsidP="00E45BA1">
      <w:pPr>
        <w:pStyle w:val="Default"/>
        <w:spacing w:after="120"/>
        <w:ind w:left="1985"/>
        <w:jc w:val="both"/>
        <w:rPr>
          <w:rFonts w:ascii="Verdana" w:hAnsi="Verdana"/>
          <w:sz w:val="18"/>
          <w:szCs w:val="18"/>
        </w:rPr>
      </w:pPr>
      <w:r w:rsidRPr="00E45BA1">
        <w:rPr>
          <w:rFonts w:ascii="Verdana" w:hAnsi="Verdana"/>
          <w:sz w:val="18"/>
          <w:szCs w:val="18"/>
        </w:rPr>
        <w:t xml:space="preserve">Dodavatelé proto ve svých nabídkách </w:t>
      </w:r>
      <w:r w:rsidRPr="00E45BA1">
        <w:rPr>
          <w:rFonts w:ascii="Verdana" w:hAnsi="Verdana"/>
          <w:b/>
          <w:bCs/>
          <w:sz w:val="18"/>
          <w:szCs w:val="18"/>
        </w:rPr>
        <w:t xml:space="preserve">zkalkulují nabídkovou cenu dle pravidel stanovených v kapitole </w:t>
      </w:r>
      <w:r w:rsidR="00B75953" w:rsidRPr="00792F13">
        <w:rPr>
          <w:rFonts w:ascii="Verdana" w:hAnsi="Verdana"/>
          <w:b/>
          <w:bCs/>
          <w:sz w:val="18"/>
          <w:szCs w:val="18"/>
        </w:rPr>
        <w:t>10</w:t>
      </w:r>
      <w:r w:rsidRPr="00792F13">
        <w:rPr>
          <w:rFonts w:ascii="Verdana" w:hAnsi="Verdana"/>
          <w:b/>
          <w:bCs/>
          <w:sz w:val="18"/>
          <w:szCs w:val="18"/>
        </w:rPr>
        <w:t xml:space="preserve"> </w:t>
      </w:r>
      <w:r w:rsidR="00B75953" w:rsidRPr="00792F13">
        <w:rPr>
          <w:rFonts w:ascii="Verdana" w:hAnsi="Verdana"/>
          <w:b/>
          <w:bCs/>
          <w:sz w:val="18"/>
          <w:szCs w:val="18"/>
        </w:rPr>
        <w:t xml:space="preserve">této zadávací dokumentace </w:t>
      </w:r>
      <w:r w:rsidRPr="00792F13">
        <w:rPr>
          <w:rFonts w:ascii="Verdana" w:hAnsi="Verdana"/>
          <w:b/>
          <w:bCs/>
          <w:sz w:val="18"/>
          <w:szCs w:val="18"/>
        </w:rPr>
        <w:t>pro variantu, kdy by po vyhodnocení kvalifikace došlo k omezení počtu účastníků soutěžního dialogu na čtyři účastníky</w:t>
      </w:r>
      <w:r w:rsidRPr="00E45BA1">
        <w:rPr>
          <w:rFonts w:ascii="Verdana" w:hAnsi="Verdana"/>
          <w:sz w:val="18"/>
          <w:szCs w:val="18"/>
        </w:rPr>
        <w:t>. V případě, že by došlo k omezení počtu účastníků soutěžního dialogu na jiný nižší počet (minimum 2</w:t>
      </w:r>
      <w:r w:rsidR="008D00F9">
        <w:rPr>
          <w:rFonts w:ascii="Verdana" w:hAnsi="Verdana"/>
          <w:sz w:val="18"/>
          <w:szCs w:val="18"/>
        </w:rPr>
        <w:t>)</w:t>
      </w:r>
      <w:r w:rsidRPr="00E45BA1">
        <w:rPr>
          <w:rFonts w:ascii="Verdana" w:hAnsi="Verdana"/>
          <w:sz w:val="18"/>
          <w:szCs w:val="18"/>
        </w:rPr>
        <w:t xml:space="preserve"> či by se celkově kvalifikoval nižší počet účastníků než 4, pak bude za každého kvalifikovaného účastníka, který se bude účastnit soutěžního dialogu, doměřena cena za poskytované služby následovně:</w:t>
      </w:r>
    </w:p>
    <w:p w14:paraId="3BDFC651" w14:textId="46CCAB9C" w:rsidR="00E45BA1" w:rsidRPr="00E45BA1" w:rsidRDefault="00E45BA1" w:rsidP="00E45BA1">
      <w:pPr>
        <w:pStyle w:val="Default"/>
        <w:spacing w:after="120"/>
        <w:ind w:left="1985"/>
        <w:jc w:val="both"/>
        <w:rPr>
          <w:rFonts w:ascii="Verdana" w:hAnsi="Verdana"/>
          <w:sz w:val="18"/>
          <w:szCs w:val="18"/>
        </w:rPr>
      </w:pPr>
      <w:r w:rsidRPr="00E45BA1">
        <w:rPr>
          <w:rFonts w:ascii="Verdana" w:hAnsi="Verdana"/>
          <w:sz w:val="18"/>
          <w:szCs w:val="18"/>
        </w:rPr>
        <w:t xml:space="preserve">Za každého účastníka zadávacího řízení, který se bude účastnit celé fáze vyjednávání v rámci soutěžního dialogu pod rámec předpokládaného počtu čtyř účastníků, bude vybranému dodavateli doměřena cena za poskytované služby tak, že cena, která bude dodavatelem v jeho nabídce stanovena za položku </w:t>
      </w:r>
      <w:r w:rsidRPr="00E45BA1">
        <w:rPr>
          <w:rFonts w:ascii="Verdana" w:hAnsi="Verdana"/>
          <w:i/>
          <w:iCs/>
          <w:sz w:val="18"/>
          <w:szCs w:val="18"/>
        </w:rPr>
        <w:t xml:space="preserve">Soutěžní dialog </w:t>
      </w:r>
      <w:r w:rsidRPr="00E45BA1">
        <w:rPr>
          <w:rFonts w:ascii="Verdana" w:hAnsi="Verdana"/>
          <w:sz w:val="18"/>
          <w:szCs w:val="18"/>
        </w:rPr>
        <w:t xml:space="preserve">dle </w:t>
      </w:r>
      <w:r w:rsidR="008D00F9">
        <w:rPr>
          <w:rFonts w:ascii="Verdana" w:hAnsi="Verdana"/>
          <w:sz w:val="18"/>
          <w:szCs w:val="18"/>
        </w:rPr>
        <w:t>článku 10.1.6.</w:t>
      </w:r>
      <w:r w:rsidR="008D00F9" w:rsidRPr="008D00F9">
        <w:rPr>
          <w:rFonts w:ascii="Verdana" w:hAnsi="Verdana"/>
          <w:sz w:val="18"/>
          <w:szCs w:val="18"/>
        </w:rPr>
        <w:t xml:space="preserve"> této zadávací dokumentace</w:t>
      </w:r>
      <w:r w:rsidRPr="00E45BA1">
        <w:rPr>
          <w:rFonts w:ascii="Verdana" w:hAnsi="Verdana"/>
          <w:sz w:val="18"/>
          <w:szCs w:val="18"/>
        </w:rPr>
        <w:t xml:space="preserve">, bude snížena o 10 %. Stejné pravidlo bude uplatněno u fáze </w:t>
      </w:r>
      <w:r w:rsidRPr="00E45BA1">
        <w:rPr>
          <w:rFonts w:ascii="Verdana" w:hAnsi="Verdana"/>
          <w:i/>
          <w:iCs/>
          <w:sz w:val="18"/>
          <w:szCs w:val="18"/>
        </w:rPr>
        <w:t xml:space="preserve">Nabídky vyhodnoceny </w:t>
      </w:r>
      <w:r w:rsidRPr="00E45BA1">
        <w:rPr>
          <w:rFonts w:ascii="Verdana" w:hAnsi="Verdana"/>
          <w:sz w:val="18"/>
          <w:szCs w:val="18"/>
        </w:rPr>
        <w:t xml:space="preserve">dle </w:t>
      </w:r>
      <w:r w:rsidR="008D00F9">
        <w:rPr>
          <w:rFonts w:ascii="Verdana" w:hAnsi="Verdana"/>
          <w:sz w:val="18"/>
          <w:szCs w:val="18"/>
        </w:rPr>
        <w:t xml:space="preserve">článku 10.1.6. </w:t>
      </w:r>
      <w:r w:rsidR="008D00F9" w:rsidRPr="008D00F9">
        <w:rPr>
          <w:rFonts w:ascii="Verdana" w:hAnsi="Verdana"/>
          <w:sz w:val="18"/>
          <w:szCs w:val="18"/>
        </w:rPr>
        <w:t>této zadávací dokumentace</w:t>
      </w:r>
      <w:r w:rsidRPr="00E45BA1">
        <w:rPr>
          <w:rFonts w:ascii="Verdana" w:hAnsi="Verdana"/>
          <w:sz w:val="18"/>
          <w:szCs w:val="18"/>
        </w:rPr>
        <w:t xml:space="preserve">, kdy za úplné vyhodnocení každé nabídky pod rámec čtyř předložených nabídek bude vybranému dodavateli cena za poskytované služby snížena o 10 % ceny, která bude dodavatelem v jeho nabídce stanovena za tuto položku. </w:t>
      </w:r>
      <w:r w:rsidRPr="00E45BA1">
        <w:rPr>
          <w:rFonts w:ascii="Verdana" w:hAnsi="Verdana"/>
          <w:sz w:val="18"/>
          <w:szCs w:val="18"/>
        </w:rPr>
        <w:lastRenderedPageBreak/>
        <w:t>Průběžné fakturace se řídí pravidly stanovenými ve Smlouvě. Pokud účastník soutěžního dialogu odstoupí v jeho průběhu, vztahuje se uvedené pravidlo krácení úplaty na fakturace služeb poskytnuté od data odstoupení účastníka soutěžního dialogu.</w:t>
      </w:r>
    </w:p>
    <w:p w14:paraId="12C7E473" w14:textId="18BEB655" w:rsidR="00E45BA1" w:rsidRPr="00E45BA1" w:rsidRDefault="00E45BA1" w:rsidP="00E45BA1">
      <w:pPr>
        <w:pStyle w:val="Default"/>
        <w:spacing w:after="120"/>
        <w:ind w:left="1985"/>
        <w:jc w:val="both"/>
        <w:rPr>
          <w:rFonts w:ascii="Verdana" w:hAnsi="Verdana"/>
          <w:sz w:val="18"/>
          <w:szCs w:val="18"/>
        </w:rPr>
      </w:pPr>
      <w:r w:rsidRPr="00E45BA1">
        <w:rPr>
          <w:rFonts w:ascii="Verdana" w:hAnsi="Verdana"/>
          <w:sz w:val="18"/>
          <w:szCs w:val="18"/>
        </w:rPr>
        <w:t xml:space="preserve">Celkovou nabídkovou cenu je dodavatel povinen doplnit do návrhu Smlouvy a do </w:t>
      </w:r>
      <w:r w:rsidR="00D26A53">
        <w:rPr>
          <w:rFonts w:ascii="Verdana" w:hAnsi="Verdana"/>
          <w:sz w:val="18"/>
          <w:szCs w:val="18"/>
        </w:rPr>
        <w:t>Cenové nabídky</w:t>
      </w:r>
      <w:r w:rsidRPr="00E45BA1">
        <w:rPr>
          <w:rFonts w:ascii="Verdana" w:hAnsi="Verdana"/>
          <w:sz w:val="18"/>
          <w:szCs w:val="18"/>
        </w:rPr>
        <w:t xml:space="preserve">, </w:t>
      </w:r>
      <w:r w:rsidRPr="00DC2B11">
        <w:rPr>
          <w:rFonts w:ascii="Verdana" w:hAnsi="Verdana"/>
          <w:sz w:val="18"/>
          <w:szCs w:val="18"/>
        </w:rPr>
        <w:t xml:space="preserve">který </w:t>
      </w:r>
      <w:r w:rsidRPr="0077296A">
        <w:rPr>
          <w:rFonts w:ascii="Verdana" w:hAnsi="Verdana"/>
          <w:sz w:val="18"/>
          <w:szCs w:val="18"/>
        </w:rPr>
        <w:t xml:space="preserve">tvoří </w:t>
      </w:r>
      <w:r w:rsidRPr="003A640C">
        <w:rPr>
          <w:rFonts w:ascii="Verdana" w:hAnsi="Verdana"/>
          <w:sz w:val="18"/>
          <w:szCs w:val="18"/>
        </w:rPr>
        <w:t>Příloh</w:t>
      </w:r>
      <w:r w:rsidR="00D26A53" w:rsidRPr="003A640C">
        <w:rPr>
          <w:rFonts w:ascii="Verdana" w:hAnsi="Verdana"/>
          <w:sz w:val="18"/>
          <w:szCs w:val="18"/>
        </w:rPr>
        <w:t>u</w:t>
      </w:r>
      <w:r w:rsidRPr="003A640C">
        <w:rPr>
          <w:rFonts w:ascii="Verdana" w:hAnsi="Verdana"/>
          <w:sz w:val="18"/>
          <w:szCs w:val="18"/>
        </w:rPr>
        <w:t xml:space="preserve"> č. </w:t>
      </w:r>
      <w:r w:rsidR="00D26A53" w:rsidRPr="003A640C">
        <w:rPr>
          <w:rFonts w:ascii="Verdana" w:hAnsi="Verdana"/>
          <w:sz w:val="18"/>
          <w:szCs w:val="18"/>
        </w:rPr>
        <w:t>7</w:t>
      </w:r>
      <w:r w:rsidRPr="003A640C">
        <w:rPr>
          <w:rFonts w:ascii="Verdana" w:hAnsi="Verdana"/>
          <w:b/>
          <w:bCs/>
          <w:sz w:val="18"/>
          <w:szCs w:val="18"/>
        </w:rPr>
        <w:t xml:space="preserve"> </w:t>
      </w:r>
      <w:r w:rsidRPr="003A640C">
        <w:rPr>
          <w:rFonts w:ascii="Verdana" w:hAnsi="Verdana"/>
          <w:sz w:val="18"/>
          <w:szCs w:val="18"/>
        </w:rPr>
        <w:t>těchto zadávacích podmínek – „</w:t>
      </w:r>
      <w:r w:rsidR="00D26A53" w:rsidRPr="003A640C">
        <w:rPr>
          <w:rFonts w:ascii="Verdana" w:hAnsi="Verdana"/>
          <w:sz w:val="18"/>
          <w:szCs w:val="18"/>
        </w:rPr>
        <w:t>Cenová nabídka</w:t>
      </w:r>
      <w:r w:rsidRPr="003A640C">
        <w:rPr>
          <w:rFonts w:ascii="Verdana" w:hAnsi="Verdana"/>
          <w:sz w:val="18"/>
          <w:szCs w:val="18"/>
        </w:rPr>
        <w:t>“.</w:t>
      </w:r>
      <w:r w:rsidRPr="00E45BA1">
        <w:rPr>
          <w:rFonts w:ascii="Verdana" w:hAnsi="Verdana"/>
          <w:sz w:val="18"/>
          <w:szCs w:val="18"/>
        </w:rPr>
        <w:t xml:space="preserve"> </w:t>
      </w:r>
    </w:p>
    <w:p w14:paraId="1993CD25" w14:textId="618C416C" w:rsidR="00E45BA1" w:rsidRPr="00E45BA1" w:rsidRDefault="00E45BA1" w:rsidP="00E45BA1">
      <w:pPr>
        <w:pStyle w:val="Default"/>
        <w:spacing w:after="120"/>
        <w:ind w:left="1985"/>
        <w:jc w:val="both"/>
        <w:rPr>
          <w:rFonts w:ascii="Verdana" w:hAnsi="Verdana"/>
          <w:sz w:val="18"/>
          <w:szCs w:val="18"/>
        </w:rPr>
      </w:pPr>
      <w:r w:rsidRPr="00E45BA1">
        <w:rPr>
          <w:rFonts w:ascii="Verdana" w:hAnsi="Verdana"/>
          <w:sz w:val="18"/>
          <w:szCs w:val="18"/>
        </w:rPr>
        <w:t xml:space="preserve">Nabídková cena může být v rámci fakturace měněna pouze dle pravidel uvedených v kapitole </w:t>
      </w:r>
      <w:r w:rsidR="009800C0" w:rsidRPr="009800C0">
        <w:rPr>
          <w:rFonts w:ascii="Verdana" w:hAnsi="Verdana"/>
          <w:sz w:val="18"/>
          <w:szCs w:val="18"/>
        </w:rPr>
        <w:t>10</w:t>
      </w:r>
      <w:r w:rsidR="009800C0">
        <w:rPr>
          <w:rFonts w:ascii="Verdana" w:hAnsi="Verdana"/>
          <w:sz w:val="18"/>
          <w:szCs w:val="18"/>
        </w:rPr>
        <w:t xml:space="preserve"> této zadávací dokumentace, </w:t>
      </w:r>
      <w:r w:rsidRPr="00E45BA1">
        <w:rPr>
          <w:rFonts w:ascii="Verdana" w:hAnsi="Verdana"/>
          <w:sz w:val="18"/>
          <w:szCs w:val="18"/>
        </w:rPr>
        <w:t xml:space="preserve">resp. v souvislosti se změnou sazeb DPH. Z jakýchkoliv jiných důvodů nesmí být nabídková cena měněna. </w:t>
      </w:r>
      <w:r w:rsidRPr="005903C8">
        <w:rPr>
          <w:rFonts w:ascii="Verdana" w:hAnsi="Verdana"/>
          <w:sz w:val="18"/>
          <w:szCs w:val="18"/>
        </w:rPr>
        <w:t>Zadavatel si v zadávacích podmínkách</w:t>
      </w:r>
      <w:r w:rsidRPr="005903C8">
        <w:rPr>
          <w:rFonts w:ascii="Verdana" w:hAnsi="Verdana"/>
          <w:b/>
          <w:bCs/>
          <w:sz w:val="18"/>
          <w:szCs w:val="18"/>
        </w:rPr>
        <w:t xml:space="preserve"> vyhrazuje právo prodloužit ze své vůle dílčí i konečný termín dokončení plnění</w:t>
      </w:r>
      <w:r w:rsidRPr="00E45BA1">
        <w:rPr>
          <w:rFonts w:ascii="Verdana" w:hAnsi="Verdana"/>
          <w:sz w:val="18"/>
          <w:szCs w:val="18"/>
        </w:rPr>
        <w:t xml:space="preserve">, pokud by objektivní okolnosti na straně </w:t>
      </w:r>
      <w:r w:rsidR="005903C8">
        <w:rPr>
          <w:rFonts w:ascii="Verdana" w:hAnsi="Verdana"/>
          <w:sz w:val="18"/>
          <w:szCs w:val="18"/>
        </w:rPr>
        <w:t>z</w:t>
      </w:r>
      <w:r w:rsidRPr="00E45BA1">
        <w:rPr>
          <w:rFonts w:ascii="Verdana" w:hAnsi="Verdana"/>
          <w:sz w:val="18"/>
          <w:szCs w:val="18"/>
        </w:rPr>
        <w:t xml:space="preserve">adavatele znemožňovaly dosažení milníku ve stanoveném termínu. Pokud by celková doba takto prodlužovaného plnění překročila </w:t>
      </w:r>
      <w:r w:rsidRPr="00792F13">
        <w:rPr>
          <w:rFonts w:ascii="Verdana" w:hAnsi="Verdana"/>
          <w:sz w:val="18"/>
          <w:szCs w:val="18"/>
        </w:rPr>
        <w:t>42 měsíců,</w:t>
      </w:r>
      <w:r w:rsidRPr="00E45BA1">
        <w:rPr>
          <w:rFonts w:ascii="Verdana" w:hAnsi="Verdana"/>
          <w:sz w:val="18"/>
          <w:szCs w:val="18"/>
        </w:rPr>
        <w:t xml:space="preserve"> má dodavatel právo na úhradu dodatečných nákladů, které musí objektivně vynaložit v souvislosti s dalším prodlužováním. </w:t>
      </w:r>
    </w:p>
    <w:p w14:paraId="50CD717A" w14:textId="4C750589" w:rsidR="00E45BA1" w:rsidRPr="00E45BA1" w:rsidRDefault="00E45BA1" w:rsidP="00AD659A">
      <w:pPr>
        <w:pStyle w:val="Default"/>
        <w:ind w:left="1985"/>
        <w:jc w:val="both"/>
        <w:rPr>
          <w:rFonts w:ascii="Verdana" w:hAnsi="Verdana"/>
          <w:sz w:val="18"/>
          <w:szCs w:val="18"/>
        </w:rPr>
      </w:pPr>
      <w:r w:rsidRPr="00E45BA1">
        <w:rPr>
          <w:rFonts w:ascii="Verdana" w:hAnsi="Verdana"/>
          <w:sz w:val="18"/>
          <w:szCs w:val="18"/>
        </w:rPr>
        <w:t>Nabídková cena nebude měněna v souvislosti s vývojem inflace v České republice, změnami hodnoty kurzu české koruny vůči zahraničním měnám či jinými faktory s vlivem na měnový kurz a stabilitu měny.</w:t>
      </w:r>
      <w:r w:rsidR="00AD659A">
        <w:rPr>
          <w:rFonts w:ascii="Verdana" w:hAnsi="Verdana"/>
          <w:sz w:val="18"/>
          <w:szCs w:val="18"/>
        </w:rPr>
        <w:t xml:space="preserve"> </w:t>
      </w:r>
      <w:r w:rsidRPr="00E45BA1">
        <w:rPr>
          <w:rFonts w:ascii="Verdana" w:hAnsi="Verdana"/>
          <w:sz w:val="18"/>
          <w:szCs w:val="18"/>
        </w:rPr>
        <w:t xml:space="preserve">Stanovení nabídkové ceny musí být dodavatelem učiněno tak, aby odpovídalo všem ustanovením těchto zadávacích podmínek. </w:t>
      </w:r>
    </w:p>
    <w:p w14:paraId="114D8BA3" w14:textId="74872EA2" w:rsidR="00E45BA1" w:rsidRPr="00E45BA1" w:rsidRDefault="00E45BA1" w:rsidP="00E45BA1">
      <w:pPr>
        <w:ind w:left="1985"/>
        <w:jc w:val="both"/>
        <w:rPr>
          <w:b/>
          <w:bCs/>
          <w:szCs w:val="18"/>
        </w:rPr>
      </w:pPr>
      <w:r w:rsidRPr="00E45BA1">
        <w:rPr>
          <w:szCs w:val="18"/>
        </w:rPr>
        <w:t>Zadavatel může vyloučit účastníka zadávacího řízení v případě, že dodavatel neuvede výši nabídkové ceny nebo nesplní ostatní podmínky týkající se zpracování nabídkové ceny.</w:t>
      </w:r>
    </w:p>
    <w:p w14:paraId="38B08C77" w14:textId="77777777" w:rsidR="00AD659A" w:rsidRPr="00646BC3" w:rsidRDefault="005D636E" w:rsidP="00646BC3">
      <w:pPr>
        <w:pStyle w:val="Nadpis2"/>
        <w:rPr>
          <w:u w:val="single"/>
        </w:rPr>
      </w:pPr>
      <w:r w:rsidRPr="00646BC3">
        <w:rPr>
          <w:u w:val="single"/>
        </w:rPr>
        <w:t>Mimořádně nízká nabídková cena</w:t>
      </w:r>
    </w:p>
    <w:p w14:paraId="0D9DF33B" w14:textId="6F0AB0E7" w:rsidR="005D636E" w:rsidRDefault="005D636E" w:rsidP="00646BC3">
      <w:pPr>
        <w:pStyle w:val="Nadpis2"/>
        <w:numPr>
          <w:ilvl w:val="0"/>
          <w:numId w:val="0"/>
        </w:numPr>
        <w:spacing w:before="120"/>
        <w:ind w:left="1276"/>
      </w:pPr>
      <w:r w:rsidRPr="00AD659A">
        <w:t xml:space="preserve">V souladu s § 113 ZZVZ posoudí </w:t>
      </w:r>
      <w:r w:rsidR="003422F3">
        <w:t>z</w:t>
      </w:r>
      <w:r w:rsidRPr="00AD659A">
        <w:t>adavatel mimořádně nízké nabídkové ceny před odesláním oznámení o výběru dodavatele. Zadavatel požádá účastníka zadávacího řízení o písemné zdůvodnění způsobu stanovení mimořádně nízké nabídkové ceny, bude-li tato v jeho nabídce identifikována. Žádost o zdůvodnění mimořádně nízké nabídkové ceny se považuje za žádost podle § 46 ZZVZ, lze ji doplňovat a vznést opakovaně.</w:t>
      </w:r>
    </w:p>
    <w:p w14:paraId="15365491" w14:textId="07E9EEE9" w:rsidR="00261057" w:rsidRPr="00261057" w:rsidRDefault="00261057" w:rsidP="00646BC3">
      <w:pPr>
        <w:ind w:left="1276"/>
        <w:jc w:val="both"/>
      </w:pPr>
      <w:r w:rsidRPr="00261057">
        <w:t>Za mimořádně nízkou nabídkovou cenu bude zadavatel považovat nabídkovou cenu, která bude alespoň o 30 % nižší než průměr nabídkových cen ze všech obdržených nabídek či případně nabídek, které zadavatel nevyloučil z</w:t>
      </w:r>
      <w:r>
        <w:t> </w:t>
      </w:r>
      <w:r w:rsidRPr="00261057">
        <w:t>hodnocení</w:t>
      </w:r>
      <w:r>
        <w:t xml:space="preserve">. </w:t>
      </w:r>
      <w:r w:rsidRPr="00261057">
        <w:t>Zadavatel rovněž upozorňuje, že za mimořádně nízkou nabídkovou cenu může posoudit nabídkovou cenu i v jiných případech, než jak jsou uvedeny výše.</w:t>
      </w:r>
    </w:p>
    <w:p w14:paraId="63846BB8" w14:textId="493A4BAF" w:rsidR="00C93D25" w:rsidRPr="00C93D25" w:rsidRDefault="003F0C86" w:rsidP="003F0C86">
      <w:pPr>
        <w:keepNext/>
        <w:keepLines/>
        <w:numPr>
          <w:ilvl w:val="0"/>
          <w:numId w:val="9"/>
        </w:numPr>
        <w:suppressAutoHyphens/>
        <w:spacing w:before="240" w:line="264" w:lineRule="auto"/>
        <w:ind w:left="567" w:hanging="567"/>
        <w:outlineLvl w:val="0"/>
        <w:rPr>
          <w:rFonts w:eastAsia="Times New Roman" w:cs="Times New Roman"/>
          <w:b/>
          <w:spacing w:val="-6"/>
          <w:szCs w:val="18"/>
          <w:u w:val="single"/>
        </w:rPr>
      </w:pPr>
      <w:r>
        <w:rPr>
          <w:rFonts w:eastAsia="Times New Roman" w:cs="Times New Roman"/>
          <w:b/>
          <w:spacing w:val="-6"/>
          <w:szCs w:val="18"/>
          <w:u w:val="single"/>
        </w:rPr>
        <w:t>H</w:t>
      </w:r>
      <w:r w:rsidR="00C93D25" w:rsidRPr="00C93D25">
        <w:rPr>
          <w:rFonts w:eastAsia="Times New Roman" w:cs="Times New Roman"/>
          <w:b/>
          <w:spacing w:val="-6"/>
          <w:szCs w:val="18"/>
          <w:u w:val="single"/>
        </w:rPr>
        <w:t>odnocení nabídek</w:t>
      </w:r>
    </w:p>
    <w:p w14:paraId="6A256023" w14:textId="469239BB" w:rsidR="00C93D25" w:rsidRPr="00C93D25" w:rsidRDefault="003F0C86" w:rsidP="003F0C86">
      <w:pPr>
        <w:jc w:val="both"/>
      </w:pPr>
      <w:r w:rsidRPr="003F0C86">
        <w:t>Nabídky budou hodnoceny podle jejich ekonomické výhodnosti ve smyslu ust. § 114 odst. 1 a 2 ZZVZ. Ekonomická výhodnost nabídek se bude hodnotit na základě nejvýhodnějšího poměru nabídkové ceny a kvality. Kritérium hodnocení nejvýhodnější poměr nabídkové ceny a kvality se bude hodnotit ve vztahu k následujícím jednotlivým kritériím hodnocení a vahám, které představují podíl jednotlivých kritérií hodnocení na celkovém hodnocení</w:t>
      </w:r>
      <w:r w:rsidR="00C93D25" w:rsidRPr="00C93D25">
        <w:t>.</w:t>
      </w:r>
    </w:p>
    <w:tbl>
      <w:tblPr>
        <w:tblW w:w="808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3544"/>
      </w:tblGrid>
      <w:tr w:rsidR="00C93D25" w:rsidRPr="00C93D25" w14:paraId="1A76E37A" w14:textId="77777777" w:rsidTr="00341AAD">
        <w:tc>
          <w:tcPr>
            <w:tcW w:w="567" w:type="dxa"/>
            <w:tcBorders>
              <w:top w:val="single" w:sz="4" w:space="0" w:color="auto"/>
              <w:left w:val="single" w:sz="4" w:space="0" w:color="auto"/>
              <w:bottom w:val="single" w:sz="4" w:space="0" w:color="auto"/>
              <w:right w:val="single" w:sz="4" w:space="0" w:color="auto"/>
            </w:tcBorders>
          </w:tcPr>
          <w:p w14:paraId="31A5186E" w14:textId="77777777" w:rsidR="00C93D25" w:rsidRPr="00C93D25" w:rsidRDefault="00C93D25" w:rsidP="00C93D25">
            <w:pPr>
              <w:spacing w:before="0" w:after="0"/>
              <w:ind w:left="0"/>
              <w:rPr>
                <w:rFonts w:eastAsia="Times New Roman" w:cs="Times New Roman"/>
                <w:sz w:val="24"/>
                <w:szCs w:val="24"/>
                <w:lang w:eastAsia="cs-CZ"/>
              </w:rPr>
            </w:pPr>
          </w:p>
        </w:tc>
        <w:tc>
          <w:tcPr>
            <w:tcW w:w="3969" w:type="dxa"/>
            <w:tcBorders>
              <w:top w:val="single" w:sz="4" w:space="0" w:color="auto"/>
              <w:left w:val="single" w:sz="4" w:space="0" w:color="auto"/>
              <w:bottom w:val="single" w:sz="4" w:space="0" w:color="auto"/>
              <w:right w:val="single" w:sz="4" w:space="0" w:color="auto"/>
            </w:tcBorders>
            <w:hideMark/>
          </w:tcPr>
          <w:p w14:paraId="25A6F560" w14:textId="77777777" w:rsidR="00C93D25" w:rsidRPr="00C93D25" w:rsidRDefault="00C93D25" w:rsidP="00C93D25">
            <w:pPr>
              <w:spacing w:before="0" w:after="0"/>
              <w:ind w:left="0"/>
              <w:rPr>
                <w:rFonts w:eastAsia="Times New Roman" w:cs="Times New Roman"/>
                <w:b/>
                <w:szCs w:val="18"/>
                <w:lang w:eastAsia="cs-CZ"/>
              </w:rPr>
            </w:pPr>
            <w:r w:rsidRPr="00C93D25">
              <w:rPr>
                <w:rFonts w:eastAsia="Times New Roman" w:cs="Times New Roman"/>
                <w:b/>
                <w:szCs w:val="18"/>
                <w:lang w:eastAsia="cs-CZ"/>
              </w:rPr>
              <w:t>Dílčí hodnotící kritérium</w:t>
            </w:r>
          </w:p>
        </w:tc>
        <w:tc>
          <w:tcPr>
            <w:tcW w:w="3544" w:type="dxa"/>
            <w:tcBorders>
              <w:top w:val="single" w:sz="4" w:space="0" w:color="auto"/>
              <w:left w:val="single" w:sz="4" w:space="0" w:color="auto"/>
              <w:bottom w:val="single" w:sz="4" w:space="0" w:color="auto"/>
              <w:right w:val="single" w:sz="4" w:space="0" w:color="auto"/>
            </w:tcBorders>
            <w:hideMark/>
          </w:tcPr>
          <w:p w14:paraId="11202D4F" w14:textId="77777777" w:rsidR="00C93D25" w:rsidRPr="00C93D25" w:rsidRDefault="00C93D25" w:rsidP="00C93D25">
            <w:pPr>
              <w:spacing w:before="0" w:after="0"/>
              <w:ind w:left="0"/>
              <w:rPr>
                <w:rFonts w:eastAsia="Times New Roman" w:cs="Times New Roman"/>
                <w:b/>
                <w:szCs w:val="18"/>
                <w:lang w:eastAsia="cs-CZ"/>
              </w:rPr>
            </w:pPr>
            <w:r w:rsidRPr="00C93D25">
              <w:rPr>
                <w:rFonts w:eastAsia="Times New Roman" w:cs="Times New Roman"/>
                <w:b/>
                <w:szCs w:val="18"/>
                <w:lang w:eastAsia="cs-CZ"/>
              </w:rPr>
              <w:t>Váha dílčího hodnotícího kritéria</w:t>
            </w:r>
          </w:p>
        </w:tc>
      </w:tr>
      <w:tr w:rsidR="00C93D25" w:rsidRPr="00C93D25" w14:paraId="5F6E3EE9" w14:textId="77777777" w:rsidTr="00341AAD">
        <w:trPr>
          <w:trHeight w:val="383"/>
        </w:trPr>
        <w:tc>
          <w:tcPr>
            <w:tcW w:w="567" w:type="dxa"/>
            <w:tcBorders>
              <w:top w:val="single" w:sz="4" w:space="0" w:color="auto"/>
              <w:left w:val="single" w:sz="4" w:space="0" w:color="auto"/>
              <w:bottom w:val="single" w:sz="4" w:space="0" w:color="auto"/>
              <w:right w:val="single" w:sz="4" w:space="0" w:color="auto"/>
            </w:tcBorders>
            <w:vAlign w:val="center"/>
            <w:hideMark/>
          </w:tcPr>
          <w:p w14:paraId="5E018680" w14:textId="77777777" w:rsidR="00C93D25" w:rsidRPr="00C93D25" w:rsidRDefault="00C93D25" w:rsidP="00C93D25">
            <w:pPr>
              <w:spacing w:before="0" w:after="0"/>
              <w:ind w:left="0"/>
              <w:jc w:val="center"/>
              <w:rPr>
                <w:rFonts w:eastAsia="Times New Roman" w:cs="Times New Roman"/>
                <w:szCs w:val="18"/>
                <w:lang w:eastAsia="cs-CZ"/>
              </w:rPr>
            </w:pPr>
            <w:r w:rsidRPr="00C93D25">
              <w:rPr>
                <w:rFonts w:eastAsia="Times New Roman" w:cs="Times New Roman"/>
                <w:szCs w:val="18"/>
                <w:lang w:eastAsia="cs-CZ"/>
              </w:rPr>
              <w:lastRenderedPageBreak/>
              <w:t>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B91CBC4" w14:textId="77777777" w:rsidR="00C93D25" w:rsidRPr="00C93D25" w:rsidRDefault="00C93D25" w:rsidP="00C93D25">
            <w:pPr>
              <w:spacing w:before="0" w:after="0"/>
              <w:ind w:left="0"/>
              <w:jc w:val="center"/>
              <w:rPr>
                <w:rFonts w:eastAsia="Times New Roman" w:cs="Times New Roman"/>
                <w:szCs w:val="18"/>
                <w:highlight w:val="yellow"/>
                <w:lang w:eastAsia="cs-CZ"/>
              </w:rPr>
            </w:pPr>
            <w:r w:rsidRPr="00C93D25">
              <w:rPr>
                <w:rFonts w:eastAsia="Times New Roman" w:cs="Times New Roman"/>
                <w:szCs w:val="18"/>
                <w:lang w:eastAsia="cs-CZ"/>
              </w:rPr>
              <w:t>Zkušenosti členů realizačního týmu</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343144B" w14:textId="77777777" w:rsidR="00C93D25" w:rsidRPr="00C93D25" w:rsidRDefault="00C93D25" w:rsidP="00C93D25">
            <w:pPr>
              <w:spacing w:before="0" w:after="0"/>
              <w:ind w:left="0"/>
              <w:jc w:val="center"/>
              <w:rPr>
                <w:rFonts w:eastAsia="Times New Roman" w:cs="Times New Roman"/>
                <w:szCs w:val="18"/>
                <w:lang w:eastAsia="cs-CZ"/>
              </w:rPr>
            </w:pPr>
            <w:r w:rsidRPr="00C93D25">
              <w:rPr>
                <w:rFonts w:eastAsia="Times New Roman" w:cs="Times New Roman"/>
                <w:szCs w:val="18"/>
                <w:lang w:eastAsia="cs-CZ"/>
              </w:rPr>
              <w:t>35 %</w:t>
            </w:r>
          </w:p>
        </w:tc>
      </w:tr>
      <w:tr w:rsidR="00C93D25" w:rsidRPr="00C93D25" w14:paraId="319632EB" w14:textId="77777777" w:rsidTr="00341AAD">
        <w:trPr>
          <w:trHeight w:val="424"/>
        </w:trPr>
        <w:tc>
          <w:tcPr>
            <w:tcW w:w="567" w:type="dxa"/>
            <w:tcBorders>
              <w:top w:val="single" w:sz="4" w:space="0" w:color="auto"/>
              <w:left w:val="single" w:sz="4" w:space="0" w:color="auto"/>
              <w:bottom w:val="single" w:sz="4" w:space="0" w:color="auto"/>
              <w:right w:val="single" w:sz="4" w:space="0" w:color="auto"/>
            </w:tcBorders>
            <w:vAlign w:val="center"/>
            <w:hideMark/>
          </w:tcPr>
          <w:p w14:paraId="23705D4B" w14:textId="77777777" w:rsidR="00C93D25" w:rsidRPr="00C93D25" w:rsidRDefault="00C93D25" w:rsidP="00C93D25">
            <w:pPr>
              <w:spacing w:before="0" w:after="0"/>
              <w:ind w:left="0"/>
              <w:jc w:val="center"/>
              <w:rPr>
                <w:rFonts w:eastAsia="Times New Roman" w:cs="Times New Roman"/>
                <w:szCs w:val="18"/>
                <w:lang w:eastAsia="cs-CZ"/>
              </w:rPr>
            </w:pPr>
            <w:r w:rsidRPr="00C93D25">
              <w:rPr>
                <w:rFonts w:eastAsia="Times New Roman" w:cs="Times New Roman"/>
                <w:szCs w:val="18"/>
                <w:lang w:eastAsia="cs-CZ"/>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8B7C842" w14:textId="77777777" w:rsidR="00C93D25" w:rsidRPr="00C93D25" w:rsidRDefault="00C93D25" w:rsidP="00C93D25">
            <w:pPr>
              <w:spacing w:before="0" w:after="0"/>
              <w:ind w:left="0"/>
              <w:jc w:val="center"/>
              <w:rPr>
                <w:rFonts w:eastAsia="Times New Roman" w:cs="Times New Roman"/>
                <w:szCs w:val="18"/>
                <w:highlight w:val="yellow"/>
                <w:lang w:eastAsia="cs-CZ"/>
              </w:rPr>
            </w:pPr>
            <w:r w:rsidRPr="00C93D25">
              <w:rPr>
                <w:rFonts w:eastAsia="Times New Roman" w:cs="Times New Roman"/>
                <w:szCs w:val="18"/>
                <w:lang w:eastAsia="cs-CZ"/>
              </w:rPr>
              <w:t>Odbornost dodavatele</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D8A66CB" w14:textId="77777777" w:rsidR="00C93D25" w:rsidRPr="00C93D25" w:rsidRDefault="00C93D25" w:rsidP="00C93D25">
            <w:pPr>
              <w:spacing w:before="0" w:after="0"/>
              <w:ind w:left="0"/>
              <w:jc w:val="center"/>
              <w:rPr>
                <w:rFonts w:eastAsia="Times New Roman" w:cs="Times New Roman"/>
                <w:szCs w:val="18"/>
                <w:lang w:eastAsia="cs-CZ"/>
              </w:rPr>
            </w:pPr>
            <w:r w:rsidRPr="00C93D25">
              <w:rPr>
                <w:rFonts w:eastAsia="Times New Roman" w:cs="Times New Roman"/>
                <w:szCs w:val="18"/>
                <w:lang w:eastAsia="cs-CZ"/>
              </w:rPr>
              <w:t>35 %</w:t>
            </w:r>
          </w:p>
        </w:tc>
      </w:tr>
      <w:tr w:rsidR="00C93D25" w:rsidRPr="00C93D25" w14:paraId="1B811947" w14:textId="77777777" w:rsidTr="00341AAD">
        <w:trPr>
          <w:trHeight w:val="424"/>
        </w:trPr>
        <w:tc>
          <w:tcPr>
            <w:tcW w:w="567" w:type="dxa"/>
            <w:tcBorders>
              <w:top w:val="single" w:sz="4" w:space="0" w:color="auto"/>
              <w:left w:val="single" w:sz="4" w:space="0" w:color="auto"/>
              <w:bottom w:val="single" w:sz="4" w:space="0" w:color="auto"/>
              <w:right w:val="single" w:sz="4" w:space="0" w:color="auto"/>
            </w:tcBorders>
            <w:vAlign w:val="center"/>
          </w:tcPr>
          <w:p w14:paraId="6A2C2B8C" w14:textId="77777777" w:rsidR="00C93D25" w:rsidRPr="00C93D25" w:rsidRDefault="00C93D25" w:rsidP="00C93D25">
            <w:pPr>
              <w:spacing w:before="0" w:after="0"/>
              <w:ind w:left="0"/>
              <w:jc w:val="center"/>
              <w:rPr>
                <w:rFonts w:eastAsia="Times New Roman" w:cs="Times New Roman"/>
                <w:szCs w:val="18"/>
                <w:lang w:eastAsia="cs-CZ"/>
              </w:rPr>
            </w:pPr>
            <w:r w:rsidRPr="00C93D25">
              <w:rPr>
                <w:rFonts w:eastAsia="Times New Roman" w:cs="Times New Roman"/>
                <w:szCs w:val="18"/>
                <w:lang w:eastAsia="cs-CZ"/>
              </w:rPr>
              <w:t>3.</w:t>
            </w:r>
          </w:p>
        </w:tc>
        <w:tc>
          <w:tcPr>
            <w:tcW w:w="3969" w:type="dxa"/>
            <w:tcBorders>
              <w:top w:val="single" w:sz="4" w:space="0" w:color="auto"/>
              <w:left w:val="single" w:sz="4" w:space="0" w:color="auto"/>
              <w:bottom w:val="single" w:sz="4" w:space="0" w:color="auto"/>
              <w:right w:val="single" w:sz="4" w:space="0" w:color="auto"/>
            </w:tcBorders>
            <w:vAlign w:val="center"/>
          </w:tcPr>
          <w:p w14:paraId="3B8F9352" w14:textId="77777777" w:rsidR="00C93D25" w:rsidRPr="00C93D25" w:rsidRDefault="00C93D25" w:rsidP="00C93D25">
            <w:pPr>
              <w:spacing w:before="0" w:after="0"/>
              <w:ind w:left="0"/>
              <w:jc w:val="center"/>
              <w:rPr>
                <w:rFonts w:eastAsia="Times New Roman" w:cs="Times New Roman"/>
                <w:szCs w:val="18"/>
                <w:highlight w:val="yellow"/>
                <w:lang w:eastAsia="cs-CZ"/>
              </w:rPr>
            </w:pPr>
            <w:r w:rsidRPr="00C93D25">
              <w:rPr>
                <w:rFonts w:eastAsia="Times New Roman" w:cs="Times New Roman"/>
                <w:szCs w:val="18"/>
                <w:lang w:eastAsia="cs-CZ"/>
              </w:rPr>
              <w:t>Nabídková cena</w:t>
            </w:r>
          </w:p>
        </w:tc>
        <w:tc>
          <w:tcPr>
            <w:tcW w:w="3544" w:type="dxa"/>
            <w:tcBorders>
              <w:top w:val="single" w:sz="4" w:space="0" w:color="auto"/>
              <w:left w:val="single" w:sz="4" w:space="0" w:color="auto"/>
              <w:bottom w:val="single" w:sz="4" w:space="0" w:color="auto"/>
              <w:right w:val="single" w:sz="4" w:space="0" w:color="auto"/>
            </w:tcBorders>
            <w:vAlign w:val="center"/>
          </w:tcPr>
          <w:p w14:paraId="0E137521" w14:textId="77777777" w:rsidR="00C93D25" w:rsidRPr="00C93D25" w:rsidRDefault="00C93D25" w:rsidP="00C93D25">
            <w:pPr>
              <w:spacing w:before="0" w:after="0"/>
              <w:ind w:left="0"/>
              <w:jc w:val="center"/>
              <w:rPr>
                <w:rFonts w:eastAsia="Times New Roman" w:cs="Times New Roman"/>
                <w:szCs w:val="18"/>
                <w:lang w:eastAsia="cs-CZ"/>
              </w:rPr>
            </w:pPr>
            <w:r w:rsidRPr="00C93D25">
              <w:rPr>
                <w:rFonts w:eastAsia="Times New Roman" w:cs="Times New Roman"/>
                <w:szCs w:val="18"/>
                <w:lang w:eastAsia="cs-CZ"/>
              </w:rPr>
              <w:t>30 %</w:t>
            </w:r>
          </w:p>
        </w:tc>
      </w:tr>
    </w:tbl>
    <w:p w14:paraId="42B38BAA" w14:textId="77777777" w:rsidR="00C93D25" w:rsidRPr="00C93D25" w:rsidRDefault="00C93D25" w:rsidP="003F0C86">
      <w:pPr>
        <w:spacing w:before="0" w:after="0" w:line="240" w:lineRule="auto"/>
        <w:ind w:left="0"/>
        <w:jc w:val="both"/>
        <w:outlineLvl w:val="1"/>
        <w:rPr>
          <w:rFonts w:eastAsia="Verdana" w:cs="Times New Roman"/>
          <w:szCs w:val="18"/>
        </w:rPr>
      </w:pPr>
    </w:p>
    <w:p w14:paraId="7D01CE8C" w14:textId="347F19F7" w:rsidR="00C93D25" w:rsidRDefault="00C93D25" w:rsidP="00707979">
      <w:pPr>
        <w:spacing w:before="0" w:line="240" w:lineRule="auto"/>
        <w:jc w:val="both"/>
        <w:outlineLvl w:val="1"/>
        <w:rPr>
          <w:rFonts w:eastAsia="Verdana" w:cs="Times New Roman"/>
          <w:szCs w:val="18"/>
        </w:rPr>
      </w:pPr>
      <w:r w:rsidRPr="00C93D25">
        <w:rPr>
          <w:rFonts w:eastAsia="Verdana" w:cs="Times New Roman"/>
          <w:szCs w:val="18"/>
        </w:rPr>
        <w:t xml:space="preserve">Procentuální váha kritérií zohledňuje především potřebu zajištění kvalitního plnění, neboť se jedná o poskytování služeb pro účely realizace </w:t>
      </w:r>
      <w:r w:rsidRPr="004F210A">
        <w:rPr>
          <w:rFonts w:eastAsia="Verdana" w:cs="Times New Roman"/>
          <w:szCs w:val="18"/>
        </w:rPr>
        <w:t>Projektu</w:t>
      </w:r>
      <w:r w:rsidRPr="00C93D25">
        <w:rPr>
          <w:rFonts w:eastAsia="Verdana" w:cs="Times New Roman"/>
          <w:szCs w:val="18"/>
        </w:rPr>
        <w:t xml:space="preserve"> o předpokládané hodnotě investičních nákladů (CAPEX) ve výši </w:t>
      </w:r>
      <w:r w:rsidR="00E05125">
        <w:rPr>
          <w:rFonts w:eastAsia="Verdana" w:cs="Times New Roman"/>
          <w:szCs w:val="18"/>
        </w:rPr>
        <w:t xml:space="preserve">více než 23 </w:t>
      </w:r>
      <w:r w:rsidRPr="00C93D25">
        <w:rPr>
          <w:rFonts w:eastAsia="Verdana" w:cs="Times New Roman"/>
          <w:szCs w:val="18"/>
        </w:rPr>
        <w:t xml:space="preserve">mld. Kč, kdy předpokládaná hodnota veřejné zakázky přitom dosahuje pouze </w:t>
      </w:r>
      <w:r w:rsidRPr="004F210A">
        <w:rPr>
          <w:rFonts w:eastAsia="Verdana" w:cs="Times New Roman"/>
          <w:szCs w:val="18"/>
        </w:rPr>
        <w:t>0,</w:t>
      </w:r>
      <w:r w:rsidR="00E05125" w:rsidRPr="004F210A">
        <w:rPr>
          <w:rFonts w:eastAsia="Verdana" w:cs="Times New Roman"/>
          <w:szCs w:val="18"/>
        </w:rPr>
        <w:t>3</w:t>
      </w:r>
      <w:r w:rsidRPr="00C93D25">
        <w:rPr>
          <w:rFonts w:eastAsia="Verdana" w:cs="Times New Roman"/>
          <w:szCs w:val="18"/>
        </w:rPr>
        <w:t xml:space="preserve"> % těchto investičních nákladů a tudíž není relevantní, aby byla váha cenového kritéria stanovena vyšší, neboť náklady potenciálně zmařené v důsledku nekvalitně </w:t>
      </w:r>
      <w:r w:rsidR="00427BD4">
        <w:rPr>
          <w:rFonts w:eastAsia="Verdana" w:cs="Times New Roman"/>
          <w:szCs w:val="18"/>
        </w:rPr>
        <w:t>poskytnutých služeb transakčního poradce by byly</w:t>
      </w:r>
      <w:r w:rsidRPr="00C93D25">
        <w:rPr>
          <w:rFonts w:eastAsia="Verdana" w:cs="Times New Roman"/>
          <w:szCs w:val="18"/>
        </w:rPr>
        <w:t xml:space="preserve"> nesrovnatelně vyšší</w:t>
      </w:r>
      <w:r w:rsidR="00427BD4">
        <w:rPr>
          <w:rFonts w:eastAsia="Verdana" w:cs="Times New Roman"/>
          <w:szCs w:val="18"/>
        </w:rPr>
        <w:t>.</w:t>
      </w:r>
    </w:p>
    <w:p w14:paraId="66D9837B" w14:textId="77777777" w:rsidR="00707979" w:rsidRDefault="00C93D25" w:rsidP="00707979">
      <w:pPr>
        <w:spacing w:before="0" w:line="240" w:lineRule="auto"/>
        <w:jc w:val="both"/>
        <w:outlineLvl w:val="1"/>
        <w:rPr>
          <w:rFonts w:eastAsia="Verdana" w:cs="Times New Roman"/>
          <w:szCs w:val="18"/>
        </w:rPr>
      </w:pPr>
      <w:r w:rsidRPr="00C93D25">
        <w:rPr>
          <w:rFonts w:eastAsia="Verdana" w:cs="Times New Roman"/>
          <w:szCs w:val="18"/>
        </w:rPr>
        <w:t xml:space="preserve">Hodnotící komise provede nejprve hodnocení kritéria č. 2. </w:t>
      </w:r>
      <w:r w:rsidRPr="00C93D25">
        <w:rPr>
          <w:rFonts w:eastAsia="Verdana" w:cs="Times New Roman"/>
          <w:i/>
          <w:iCs/>
          <w:szCs w:val="18"/>
        </w:rPr>
        <w:t>Odbornost</w:t>
      </w:r>
      <w:r w:rsidRPr="00C93D25">
        <w:rPr>
          <w:rFonts w:eastAsia="Verdana" w:cs="Times New Roman"/>
          <w:szCs w:val="18"/>
        </w:rPr>
        <w:t xml:space="preserve"> </w:t>
      </w:r>
      <w:r w:rsidRPr="00C93D25">
        <w:rPr>
          <w:rFonts w:eastAsia="Verdana" w:cs="Times New Roman"/>
          <w:i/>
          <w:iCs/>
          <w:szCs w:val="18"/>
        </w:rPr>
        <w:t>dodavatele</w:t>
      </w:r>
      <w:r w:rsidRPr="00C93D25">
        <w:rPr>
          <w:rFonts w:eastAsia="Verdana" w:cs="Times New Roman"/>
          <w:szCs w:val="18"/>
        </w:rPr>
        <w:t xml:space="preserve"> (dokumenty „Odbornost dodavatele“ budou předloženy v anonymizované podobě – viz níže). Jako druhé v pořadí proběhne hodnocení dílčího kritéria č. 1 </w:t>
      </w:r>
      <w:r w:rsidRPr="00C93D25">
        <w:rPr>
          <w:rFonts w:eastAsia="Verdana" w:cs="Times New Roman"/>
          <w:i/>
          <w:iCs/>
          <w:szCs w:val="18"/>
        </w:rPr>
        <w:t>Zkušenosti</w:t>
      </w:r>
      <w:r w:rsidRPr="00C93D25">
        <w:rPr>
          <w:rFonts w:eastAsia="Verdana" w:cs="Times New Roman"/>
          <w:szCs w:val="18"/>
        </w:rPr>
        <w:t xml:space="preserve"> </w:t>
      </w:r>
      <w:r w:rsidRPr="00C93D25">
        <w:rPr>
          <w:rFonts w:eastAsia="Verdana" w:cs="Times New Roman"/>
          <w:i/>
          <w:iCs/>
          <w:szCs w:val="18"/>
        </w:rPr>
        <w:t>členů</w:t>
      </w:r>
      <w:r w:rsidRPr="00C93D25">
        <w:rPr>
          <w:rFonts w:eastAsia="Verdana" w:cs="Times New Roman"/>
          <w:szCs w:val="18"/>
        </w:rPr>
        <w:t xml:space="preserve"> </w:t>
      </w:r>
      <w:r w:rsidRPr="00C93D25">
        <w:rPr>
          <w:rFonts w:eastAsia="Verdana" w:cs="Times New Roman"/>
          <w:i/>
          <w:iCs/>
          <w:szCs w:val="18"/>
        </w:rPr>
        <w:t>realizačního</w:t>
      </w:r>
      <w:r w:rsidRPr="00C93D25">
        <w:rPr>
          <w:rFonts w:eastAsia="Verdana" w:cs="Times New Roman"/>
          <w:szCs w:val="18"/>
        </w:rPr>
        <w:t xml:space="preserve"> </w:t>
      </w:r>
      <w:r w:rsidRPr="00C93D25">
        <w:rPr>
          <w:rFonts w:eastAsia="Verdana" w:cs="Times New Roman"/>
          <w:i/>
          <w:iCs/>
          <w:szCs w:val="18"/>
        </w:rPr>
        <w:t>týmu</w:t>
      </w:r>
      <w:r w:rsidRPr="00C93D25">
        <w:rPr>
          <w:rFonts w:eastAsia="Verdana" w:cs="Times New Roman"/>
          <w:szCs w:val="18"/>
        </w:rPr>
        <w:t xml:space="preserve">. Jako poslední bude hodnoceno kritérium č. 3 </w:t>
      </w:r>
      <w:r w:rsidRPr="00C93D25">
        <w:rPr>
          <w:rFonts w:eastAsia="Times New Roman" w:cs="Times New Roman"/>
          <w:i/>
          <w:iCs/>
          <w:szCs w:val="18"/>
          <w:lang w:eastAsia="cs-CZ"/>
        </w:rPr>
        <w:t>Nabídková</w:t>
      </w:r>
      <w:r w:rsidRPr="00C93D25">
        <w:rPr>
          <w:rFonts w:eastAsia="Times New Roman" w:cs="Times New Roman"/>
          <w:szCs w:val="18"/>
          <w:lang w:eastAsia="cs-CZ"/>
        </w:rPr>
        <w:t xml:space="preserve"> </w:t>
      </w:r>
      <w:r w:rsidRPr="00C93D25">
        <w:rPr>
          <w:rFonts w:eastAsia="Times New Roman" w:cs="Times New Roman"/>
          <w:i/>
          <w:iCs/>
          <w:szCs w:val="18"/>
          <w:lang w:eastAsia="cs-CZ"/>
        </w:rPr>
        <w:t>cena</w:t>
      </w:r>
      <w:r w:rsidRPr="00C93D25">
        <w:rPr>
          <w:rFonts w:eastAsia="Times New Roman" w:cs="Times New Roman"/>
          <w:szCs w:val="18"/>
          <w:lang w:eastAsia="cs-CZ"/>
        </w:rPr>
        <w:t>.</w:t>
      </w:r>
    </w:p>
    <w:p w14:paraId="5B611784" w14:textId="2CE4543B" w:rsidR="00922A8D" w:rsidRDefault="00C93D25" w:rsidP="00922A8D">
      <w:pPr>
        <w:spacing w:before="0" w:line="240" w:lineRule="auto"/>
        <w:jc w:val="both"/>
        <w:outlineLvl w:val="1"/>
        <w:rPr>
          <w:rFonts w:eastAsia="Verdana" w:cs="Times New Roman"/>
          <w:szCs w:val="18"/>
        </w:rPr>
      </w:pPr>
      <w:r w:rsidRPr="00C93D25">
        <w:rPr>
          <w:rFonts w:eastAsia="Verdana" w:cs="Times New Roman"/>
          <w:szCs w:val="18"/>
        </w:rPr>
        <w:t xml:space="preserve">Hodnocení kritéria č. 2 a č. 1 tedy proběhne, aniž by se hodnotící komise dopředu seznámila s nabídkovou cenou jednotlivých dodavatelů (hodnotící kritérium č. 3). Až po přidělení bodů 2. a 1. hodnotícímu kritériu bude hodnotící komise seznámena s hodnotami 3. kritéria a provede hodnocení jako celek. </w:t>
      </w:r>
      <w:r w:rsidRPr="00C93D25">
        <w:rPr>
          <w:rFonts w:eastAsia="Verdana" w:cs="Times New Roman"/>
          <w:b/>
          <w:bCs/>
          <w:szCs w:val="18"/>
        </w:rPr>
        <w:t xml:space="preserve">V případě, že dodavatelem předložená nabídka nebude splňovat požadavek čl. </w:t>
      </w:r>
      <w:r w:rsidR="00707979">
        <w:rPr>
          <w:rFonts w:eastAsia="Verdana" w:cs="Times New Roman"/>
          <w:b/>
          <w:bCs/>
          <w:szCs w:val="18"/>
        </w:rPr>
        <w:t>10</w:t>
      </w:r>
      <w:r w:rsidR="002D1D8D">
        <w:rPr>
          <w:rFonts w:eastAsia="Verdana" w:cs="Times New Roman"/>
          <w:b/>
          <w:bCs/>
          <w:szCs w:val="18"/>
        </w:rPr>
        <w:t>.1.2. této</w:t>
      </w:r>
      <w:r w:rsidRPr="00C93D25">
        <w:rPr>
          <w:rFonts w:eastAsia="Verdana" w:cs="Times New Roman"/>
          <w:b/>
          <w:bCs/>
          <w:szCs w:val="18"/>
        </w:rPr>
        <w:t xml:space="preserve"> </w:t>
      </w:r>
      <w:r w:rsidR="00707979">
        <w:rPr>
          <w:rFonts w:eastAsia="Verdana" w:cs="Times New Roman"/>
          <w:b/>
          <w:bCs/>
          <w:szCs w:val="18"/>
        </w:rPr>
        <w:t xml:space="preserve">zadávací dokumentace </w:t>
      </w:r>
      <w:r w:rsidRPr="00C93D25">
        <w:rPr>
          <w:rFonts w:eastAsia="Verdana" w:cs="Times New Roman"/>
          <w:b/>
          <w:bCs/>
          <w:szCs w:val="18"/>
        </w:rPr>
        <w:t>a nabídková cena nebude podána odděleně od ostatních částí nabídky, bude takové nabídce přiděleno 0 bodů v kritériu č. 3.</w:t>
      </w:r>
    </w:p>
    <w:p w14:paraId="5330F511" w14:textId="68A94069" w:rsidR="003F0C86" w:rsidRPr="00350798" w:rsidRDefault="00C93D25" w:rsidP="00350798">
      <w:pPr>
        <w:spacing w:before="0" w:line="240" w:lineRule="auto"/>
        <w:jc w:val="both"/>
        <w:outlineLvl w:val="1"/>
        <w:rPr>
          <w:rFonts w:eastAsia="Verdana" w:cs="Times New Roman"/>
          <w:szCs w:val="18"/>
        </w:rPr>
      </w:pPr>
      <w:r w:rsidRPr="00C93D25">
        <w:rPr>
          <w:rFonts w:eastAsia="Verdana" w:cs="Times New Roman"/>
          <w:szCs w:val="18"/>
        </w:rPr>
        <w:t>Nabídky budou hodnoceny pomocí bodů na bodové stupnici 0-100, které jsou ke každému dílčímu kritériu přidělovány podle následujících pravidel:</w:t>
      </w:r>
    </w:p>
    <w:p w14:paraId="4C180DDB" w14:textId="77777777" w:rsidR="00350798" w:rsidRPr="00BE4D95" w:rsidRDefault="00C93D25" w:rsidP="00646BC3">
      <w:pPr>
        <w:pStyle w:val="Nadpis2"/>
        <w:rPr>
          <w:u w:val="single"/>
        </w:rPr>
      </w:pPr>
      <w:r w:rsidRPr="00BE4D95">
        <w:rPr>
          <w:u w:val="single"/>
        </w:rPr>
        <w:t>Zkušenosti členů realizačního týmu</w:t>
      </w:r>
    </w:p>
    <w:p w14:paraId="255B4D36" w14:textId="3C38B530" w:rsidR="00350798" w:rsidRDefault="00C93D25" w:rsidP="00BE4D95">
      <w:pPr>
        <w:pStyle w:val="Nadpis2"/>
        <w:numPr>
          <w:ilvl w:val="0"/>
          <w:numId w:val="0"/>
        </w:numPr>
        <w:spacing w:before="120"/>
        <w:ind w:left="1276"/>
      </w:pPr>
      <w:r w:rsidRPr="00350798">
        <w:t xml:space="preserve">Hodnocení v rámci tohoto dílčího hodnotícího kritéria bude provedeno na základě posouzení zkušeností členů realizačního týmu dodavatele, uvedených v životopisech, které tvoří </w:t>
      </w:r>
      <w:r w:rsidRPr="004F210A">
        <w:t>přílohu č. 5</w:t>
      </w:r>
      <w:r w:rsidRPr="00350798">
        <w:t xml:space="preserve"> této </w:t>
      </w:r>
      <w:r w:rsidR="00DB3EFB">
        <w:t>zadávací dokumentace</w:t>
      </w:r>
      <w:r w:rsidRPr="00350798">
        <w:t>.</w:t>
      </w:r>
    </w:p>
    <w:p w14:paraId="3079D591" w14:textId="50E2EC86" w:rsidR="00C93D25" w:rsidRPr="00C93D25" w:rsidRDefault="00C93D25" w:rsidP="00646BC3">
      <w:pPr>
        <w:pStyle w:val="Nadpis2"/>
        <w:numPr>
          <w:ilvl w:val="0"/>
          <w:numId w:val="0"/>
        </w:numPr>
        <w:ind w:left="1276"/>
        <w:rPr>
          <w:u w:val="single"/>
        </w:rPr>
      </w:pPr>
      <w:r w:rsidRPr="00C93D25">
        <w:t>Hodnotící komise přidělí každé nabídce / každému realizačnímu týmu dodavatele počet bodů v závislosti na prokázaných zkušenostech realizačního týmu</w:t>
      </w:r>
      <w:r w:rsidR="00FB11FE">
        <w:t xml:space="preserve"> předložených nad rámec zkušeností předložených dodavtelem pro účley splnění podmínek technické kvalifikace dle článku 8.4. této zadávací dokumetnace</w:t>
      </w:r>
      <w:r w:rsidRPr="00C93D25">
        <w:t>. Člen realizačního týmu může v rámci tohoto hodnotícího kritéria získávat body za prokázání konkrétních zkušeností dle následující tabulky:</w:t>
      </w:r>
    </w:p>
    <w:tbl>
      <w:tblPr>
        <w:tblpPr w:leftFromText="141" w:rightFromText="141" w:vertAnchor="text" w:tblpX="1247" w:tblpY="1"/>
        <w:tblOverlap w:val="never"/>
        <w:tblW w:w="7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694"/>
        <w:gridCol w:w="1417"/>
        <w:gridCol w:w="1276"/>
        <w:gridCol w:w="1134"/>
      </w:tblGrid>
      <w:tr w:rsidR="00C445A3" w:rsidRPr="00C0416E" w14:paraId="7A322216" w14:textId="68FD496B" w:rsidTr="00657214">
        <w:trPr>
          <w:trHeight w:val="698"/>
        </w:trPr>
        <w:tc>
          <w:tcPr>
            <w:tcW w:w="992" w:type="dxa"/>
            <w:tcBorders>
              <w:top w:val="single" w:sz="4" w:space="0" w:color="auto"/>
              <w:left w:val="single" w:sz="4" w:space="0" w:color="auto"/>
              <w:bottom w:val="single" w:sz="4" w:space="0" w:color="auto"/>
              <w:right w:val="single" w:sz="4" w:space="0" w:color="auto"/>
            </w:tcBorders>
            <w:shd w:val="clear" w:color="auto" w:fill="FAA800"/>
            <w:hideMark/>
          </w:tcPr>
          <w:p w14:paraId="4D02DFB6" w14:textId="77777777" w:rsidR="00C445A3" w:rsidRPr="00C0416E" w:rsidRDefault="00C445A3" w:rsidP="00646BC3">
            <w:pPr>
              <w:widowControl w:val="0"/>
              <w:tabs>
                <w:tab w:val="left" w:pos="7227"/>
              </w:tabs>
              <w:spacing w:line="288" w:lineRule="auto"/>
              <w:ind w:left="0" w:right="67"/>
              <w:jc w:val="both"/>
              <w:rPr>
                <w:rFonts w:eastAsia="Times New Roman" w:cs="Times New Roman"/>
                <w:b/>
                <w:bCs/>
                <w:sz w:val="15"/>
                <w:szCs w:val="15"/>
                <w:lang w:eastAsia="cs-CZ"/>
              </w:rPr>
            </w:pPr>
            <w:r w:rsidRPr="00C0416E">
              <w:rPr>
                <w:rFonts w:eastAsia="Times New Roman" w:cs="Times New Roman"/>
                <w:b/>
                <w:bCs/>
                <w:sz w:val="15"/>
                <w:szCs w:val="15"/>
                <w:lang w:eastAsia="cs-CZ"/>
              </w:rPr>
              <w:t>Člen realizačního týmu</w:t>
            </w:r>
          </w:p>
        </w:tc>
        <w:tc>
          <w:tcPr>
            <w:tcW w:w="2694" w:type="dxa"/>
            <w:tcBorders>
              <w:top w:val="single" w:sz="4" w:space="0" w:color="auto"/>
              <w:left w:val="single" w:sz="4" w:space="0" w:color="auto"/>
              <w:bottom w:val="single" w:sz="4" w:space="0" w:color="auto"/>
              <w:right w:val="single" w:sz="4" w:space="0" w:color="auto"/>
            </w:tcBorders>
            <w:shd w:val="clear" w:color="auto" w:fill="FAA800"/>
            <w:hideMark/>
          </w:tcPr>
          <w:p w14:paraId="024D2043" w14:textId="77777777" w:rsidR="00C445A3" w:rsidRPr="00C0416E" w:rsidRDefault="00C445A3" w:rsidP="00646BC3">
            <w:pPr>
              <w:widowControl w:val="0"/>
              <w:tabs>
                <w:tab w:val="left" w:pos="7227"/>
              </w:tabs>
              <w:spacing w:line="288" w:lineRule="auto"/>
              <w:ind w:left="0" w:right="67"/>
              <w:jc w:val="both"/>
              <w:rPr>
                <w:rFonts w:eastAsia="Times New Roman" w:cs="Times New Roman"/>
                <w:b/>
                <w:bCs/>
                <w:sz w:val="15"/>
                <w:szCs w:val="15"/>
                <w:lang w:eastAsia="cs-CZ"/>
              </w:rPr>
            </w:pPr>
            <w:r w:rsidRPr="00C0416E">
              <w:rPr>
                <w:rFonts w:eastAsia="Times New Roman" w:cs="Times New Roman"/>
                <w:b/>
                <w:bCs/>
                <w:sz w:val="15"/>
                <w:szCs w:val="15"/>
                <w:lang w:eastAsia="cs-CZ"/>
              </w:rPr>
              <w:t>Bodovaná kritéria</w:t>
            </w:r>
          </w:p>
        </w:tc>
        <w:tc>
          <w:tcPr>
            <w:tcW w:w="1417" w:type="dxa"/>
            <w:tcBorders>
              <w:top w:val="single" w:sz="4" w:space="0" w:color="auto"/>
              <w:left w:val="single" w:sz="4" w:space="0" w:color="auto"/>
              <w:bottom w:val="single" w:sz="4" w:space="0" w:color="auto"/>
              <w:right w:val="single" w:sz="4" w:space="0" w:color="auto"/>
            </w:tcBorders>
            <w:shd w:val="clear" w:color="auto" w:fill="FAA800"/>
            <w:hideMark/>
          </w:tcPr>
          <w:p w14:paraId="63DB6754" w14:textId="3386889F" w:rsidR="00C445A3" w:rsidRPr="00C0416E" w:rsidRDefault="00C445A3" w:rsidP="00646BC3">
            <w:pPr>
              <w:widowControl w:val="0"/>
              <w:tabs>
                <w:tab w:val="left" w:pos="7227"/>
              </w:tabs>
              <w:spacing w:line="288" w:lineRule="auto"/>
              <w:ind w:left="0" w:right="67"/>
              <w:jc w:val="both"/>
              <w:rPr>
                <w:rFonts w:eastAsia="Times New Roman" w:cs="Times New Roman"/>
                <w:b/>
                <w:bCs/>
                <w:sz w:val="15"/>
                <w:szCs w:val="15"/>
                <w:lang w:eastAsia="cs-CZ"/>
              </w:rPr>
            </w:pPr>
            <w:r w:rsidRPr="00C0416E">
              <w:rPr>
                <w:rFonts w:eastAsia="Times New Roman" w:cs="Times New Roman"/>
                <w:b/>
                <w:bCs/>
                <w:sz w:val="15"/>
                <w:szCs w:val="15"/>
                <w:lang w:eastAsia="cs-CZ"/>
              </w:rPr>
              <w:t xml:space="preserve">Počet bodů za započítanou zkušenost </w:t>
            </w:r>
            <w:r w:rsidR="00592BBF">
              <w:rPr>
                <w:rFonts w:eastAsia="Times New Roman" w:cs="Times New Roman"/>
                <w:b/>
                <w:bCs/>
                <w:sz w:val="15"/>
                <w:szCs w:val="15"/>
                <w:lang w:eastAsia="cs-CZ"/>
              </w:rPr>
              <w:t xml:space="preserve">s projektem </w:t>
            </w:r>
            <w:r w:rsidRPr="00C0416E">
              <w:rPr>
                <w:rFonts w:eastAsia="Times New Roman" w:cs="Times New Roman"/>
                <w:b/>
                <w:bCs/>
                <w:sz w:val="15"/>
                <w:szCs w:val="15"/>
                <w:lang w:eastAsia="cs-CZ"/>
              </w:rPr>
              <w:t xml:space="preserve">předloženou nad rámec zkušeností předložených pro účely splnění technické </w:t>
            </w:r>
            <w:r w:rsidRPr="00C0416E">
              <w:rPr>
                <w:rFonts w:eastAsia="Times New Roman" w:cs="Times New Roman"/>
                <w:b/>
                <w:bCs/>
                <w:sz w:val="15"/>
                <w:szCs w:val="15"/>
                <w:lang w:eastAsia="cs-CZ"/>
              </w:rPr>
              <w:lastRenderedPageBreak/>
              <w:t>kvalifikace</w:t>
            </w:r>
            <w:r w:rsidR="00C743C3">
              <w:rPr>
                <w:rFonts w:eastAsia="Times New Roman" w:cs="Times New Roman"/>
                <w:b/>
                <w:bCs/>
                <w:sz w:val="15"/>
                <w:szCs w:val="15"/>
                <w:lang w:eastAsia="cs-CZ"/>
              </w:rPr>
              <w:t xml:space="preserve"> dle čl. 8.4.</w:t>
            </w:r>
          </w:p>
        </w:tc>
        <w:tc>
          <w:tcPr>
            <w:tcW w:w="1276" w:type="dxa"/>
            <w:tcBorders>
              <w:top w:val="single" w:sz="4" w:space="0" w:color="auto"/>
              <w:left w:val="single" w:sz="4" w:space="0" w:color="auto"/>
              <w:bottom w:val="single" w:sz="4" w:space="0" w:color="auto"/>
              <w:right w:val="single" w:sz="4" w:space="0" w:color="auto"/>
            </w:tcBorders>
            <w:shd w:val="clear" w:color="auto" w:fill="FAA800"/>
            <w:hideMark/>
          </w:tcPr>
          <w:p w14:paraId="7317FC2C" w14:textId="77777777" w:rsidR="00C445A3" w:rsidRPr="00C0416E" w:rsidRDefault="00C445A3" w:rsidP="00646BC3">
            <w:pPr>
              <w:widowControl w:val="0"/>
              <w:tabs>
                <w:tab w:val="left" w:pos="7227"/>
              </w:tabs>
              <w:spacing w:line="288" w:lineRule="auto"/>
              <w:ind w:left="0" w:right="67"/>
              <w:jc w:val="both"/>
              <w:rPr>
                <w:rFonts w:eastAsia="Times New Roman" w:cs="Times New Roman"/>
                <w:b/>
                <w:bCs/>
                <w:sz w:val="15"/>
                <w:szCs w:val="15"/>
                <w:lang w:eastAsia="cs-CZ"/>
              </w:rPr>
            </w:pPr>
            <w:r w:rsidRPr="00C0416E">
              <w:rPr>
                <w:rFonts w:eastAsia="Times New Roman" w:cs="Times New Roman"/>
                <w:b/>
                <w:bCs/>
                <w:sz w:val="15"/>
                <w:szCs w:val="15"/>
                <w:lang w:eastAsia="cs-CZ"/>
              </w:rPr>
              <w:lastRenderedPageBreak/>
              <w:t>Maximální bodové hodnocení (zkušenosti nad rámec maxima již nejsou bonifikovány)</w:t>
            </w:r>
          </w:p>
        </w:tc>
        <w:tc>
          <w:tcPr>
            <w:tcW w:w="1134" w:type="dxa"/>
            <w:tcBorders>
              <w:top w:val="single" w:sz="4" w:space="0" w:color="auto"/>
              <w:left w:val="single" w:sz="4" w:space="0" w:color="auto"/>
              <w:bottom w:val="single" w:sz="4" w:space="0" w:color="auto"/>
              <w:right w:val="single" w:sz="4" w:space="0" w:color="auto"/>
            </w:tcBorders>
            <w:shd w:val="clear" w:color="auto" w:fill="FAA800"/>
          </w:tcPr>
          <w:p w14:paraId="57F66D67" w14:textId="205AD7E6" w:rsidR="00C445A3" w:rsidRPr="00C0416E" w:rsidRDefault="00C445A3" w:rsidP="00646BC3">
            <w:pPr>
              <w:widowControl w:val="0"/>
              <w:tabs>
                <w:tab w:val="left" w:pos="7227"/>
              </w:tabs>
              <w:spacing w:line="288" w:lineRule="auto"/>
              <w:ind w:left="0" w:right="67"/>
              <w:jc w:val="both"/>
              <w:rPr>
                <w:rFonts w:eastAsia="Times New Roman" w:cs="Times New Roman"/>
                <w:b/>
                <w:bCs/>
                <w:sz w:val="15"/>
                <w:szCs w:val="15"/>
                <w:lang w:eastAsia="cs-CZ"/>
              </w:rPr>
            </w:pPr>
            <w:r w:rsidRPr="00C0416E">
              <w:rPr>
                <w:rFonts w:eastAsia="Times New Roman" w:cs="Times New Roman"/>
                <w:b/>
                <w:bCs/>
                <w:sz w:val="15"/>
                <w:szCs w:val="15"/>
                <w:lang w:eastAsia="cs-CZ"/>
              </w:rPr>
              <w:t>Procentní váha za jednoho člena týmu (</w:t>
            </w:r>
            <w:proofErr w:type="gramStart"/>
            <w:r w:rsidRPr="00C0416E">
              <w:rPr>
                <w:rFonts w:eastAsia="Times New Roman" w:cs="Times New Roman"/>
                <w:b/>
                <w:bCs/>
                <w:sz w:val="15"/>
                <w:szCs w:val="15"/>
                <w:lang w:eastAsia="cs-CZ"/>
              </w:rPr>
              <w:t>%)*</w:t>
            </w:r>
            <w:proofErr w:type="gramEnd"/>
            <w:r w:rsidRPr="00C0416E">
              <w:rPr>
                <w:rFonts w:eastAsia="Times New Roman" w:cs="Times New Roman"/>
                <w:b/>
                <w:bCs/>
                <w:sz w:val="15"/>
                <w:szCs w:val="15"/>
                <w:lang w:eastAsia="cs-CZ"/>
              </w:rPr>
              <w:t>*</w:t>
            </w:r>
          </w:p>
        </w:tc>
      </w:tr>
      <w:tr w:rsidR="00C445A3" w:rsidRPr="00C0416E" w14:paraId="25FEF587" w14:textId="23CFF8F6" w:rsidTr="00532157">
        <w:trPr>
          <w:trHeight w:val="2684"/>
        </w:trPr>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0529ACE" w14:textId="3FBA714A" w:rsidR="00C445A3" w:rsidRPr="00C0416E" w:rsidRDefault="00C445A3" w:rsidP="00646BC3">
            <w:pPr>
              <w:widowControl w:val="0"/>
              <w:tabs>
                <w:tab w:val="left" w:pos="7227"/>
              </w:tabs>
              <w:spacing w:line="288" w:lineRule="auto"/>
              <w:ind w:left="0" w:right="67"/>
              <w:rPr>
                <w:rFonts w:eastAsia="Times New Roman" w:cs="Times New Roman"/>
                <w:sz w:val="15"/>
                <w:szCs w:val="15"/>
                <w:lang w:eastAsia="cs-CZ"/>
              </w:rPr>
            </w:pPr>
            <w:r w:rsidRPr="00C0416E">
              <w:rPr>
                <w:rFonts w:eastAsia="Times New Roman" w:cs="Times New Roman"/>
                <w:sz w:val="15"/>
                <w:szCs w:val="15"/>
                <w:lang w:eastAsia="cs-CZ"/>
              </w:rPr>
              <w:t xml:space="preserve">1. </w:t>
            </w:r>
            <w:r w:rsidRPr="00C0416E">
              <w:rPr>
                <w:rFonts w:eastAsia="Verdana" w:cs="Times New Roman"/>
                <w:sz w:val="15"/>
                <w:szCs w:val="15"/>
              </w:rPr>
              <w:t xml:space="preserve"> </w:t>
            </w:r>
            <w:r w:rsidR="00FB11FE">
              <w:t xml:space="preserve"> </w:t>
            </w:r>
            <w:r w:rsidR="00FB11FE" w:rsidRPr="00FB11FE">
              <w:rPr>
                <w:rFonts w:eastAsia="Times New Roman" w:cs="Times New Roman"/>
                <w:b/>
                <w:bCs/>
                <w:sz w:val="15"/>
                <w:szCs w:val="15"/>
                <w:u w:val="single"/>
                <w:lang w:eastAsia="cs-CZ"/>
              </w:rPr>
              <w:t>Člen týmu L1 – L</w:t>
            </w:r>
            <w:r w:rsidR="00532157">
              <w:rPr>
                <w:rFonts w:eastAsia="Times New Roman" w:cs="Times New Roman"/>
                <w:b/>
                <w:bCs/>
                <w:sz w:val="15"/>
                <w:szCs w:val="15"/>
                <w:u w:val="single"/>
                <w:lang w:eastAsia="cs-CZ"/>
              </w:rPr>
              <w:t>2</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2C09B192" w14:textId="71A3A2A6" w:rsidR="00C445A3" w:rsidRPr="00C0416E" w:rsidRDefault="00FB11FE" w:rsidP="00646BC3">
            <w:pPr>
              <w:widowControl w:val="0"/>
              <w:ind w:left="0"/>
              <w:jc w:val="both"/>
              <w:rPr>
                <w:rFonts w:eastAsia="Times New Roman" w:cs="Times New Roman"/>
                <w:sz w:val="15"/>
                <w:szCs w:val="15"/>
                <w:lang w:eastAsia="cs-CZ"/>
              </w:rPr>
            </w:pPr>
            <w:r w:rsidRPr="00FB11FE">
              <w:rPr>
                <w:rFonts w:eastAsia="Times New Roman" w:cs="Times New Roman"/>
                <w:sz w:val="15"/>
                <w:szCs w:val="15"/>
                <w:lang w:eastAsia="cs-CZ"/>
              </w:rPr>
              <w:t xml:space="preserve">Účast na </w:t>
            </w:r>
            <w:r w:rsidR="00657214">
              <w:rPr>
                <w:rFonts w:eastAsia="Times New Roman" w:cs="Times New Roman"/>
                <w:sz w:val="15"/>
                <w:szCs w:val="15"/>
                <w:lang w:eastAsia="cs-CZ"/>
              </w:rPr>
              <w:t>právním</w:t>
            </w:r>
            <w:r w:rsidR="00657214" w:rsidRPr="00FB11FE">
              <w:rPr>
                <w:rFonts w:eastAsia="Times New Roman" w:cs="Times New Roman"/>
                <w:sz w:val="15"/>
                <w:szCs w:val="15"/>
                <w:lang w:eastAsia="cs-CZ"/>
              </w:rPr>
              <w:t xml:space="preserve"> </w:t>
            </w:r>
            <w:r w:rsidRPr="00FB11FE">
              <w:rPr>
                <w:rFonts w:eastAsia="Times New Roman" w:cs="Times New Roman"/>
                <w:sz w:val="15"/>
                <w:szCs w:val="15"/>
                <w:lang w:eastAsia="cs-CZ"/>
              </w:rPr>
              <w:t>poradenství u PPP projektů liniové dopravní infrastruktury, které úspěšně dosáhly Finančního uzavření – počet projektů nad rámec kvalifikačního kritéria (bylo-li prokázáno projektem liniové dopravní infrastruktury realizovaným formou PPP).</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AEDF4B3" w14:textId="552461F9" w:rsidR="00C445A3" w:rsidRPr="00C0416E" w:rsidRDefault="00246E8D" w:rsidP="00646BC3">
            <w:pPr>
              <w:widowControl w:val="0"/>
              <w:tabs>
                <w:tab w:val="left" w:pos="7227"/>
              </w:tabs>
              <w:spacing w:line="288" w:lineRule="auto"/>
              <w:ind w:left="0" w:right="67"/>
              <w:jc w:val="both"/>
              <w:rPr>
                <w:rFonts w:eastAsia="Times New Roman" w:cs="Times New Roman"/>
                <w:sz w:val="15"/>
                <w:szCs w:val="15"/>
                <w:lang w:eastAsia="cs-CZ"/>
              </w:rPr>
            </w:pPr>
            <w:r w:rsidRPr="00246E8D">
              <w:rPr>
                <w:rFonts w:eastAsia="Times New Roman" w:cs="Times New Roman"/>
                <w:sz w:val="15"/>
                <w:szCs w:val="15"/>
                <w:lang w:eastAsia="cs-CZ"/>
              </w:rPr>
              <w:t xml:space="preserve">2 body za každou 1 zkušenost nad rámec kvalifikačního kritéria dle odst. </w:t>
            </w:r>
            <w:r>
              <w:rPr>
                <w:rFonts w:eastAsia="Times New Roman" w:cs="Times New Roman"/>
                <w:sz w:val="15"/>
                <w:szCs w:val="15"/>
                <w:lang w:eastAsia="cs-CZ"/>
              </w:rPr>
              <w:t>8</w:t>
            </w:r>
            <w:r w:rsidRPr="00246E8D">
              <w:rPr>
                <w:rFonts w:eastAsia="Times New Roman" w:cs="Times New Roman"/>
                <w:sz w:val="15"/>
                <w:szCs w:val="15"/>
                <w:lang w:eastAsia="cs-CZ"/>
              </w:rPr>
              <w:t xml:space="preserve">.4. </w:t>
            </w:r>
            <w:r>
              <w:rPr>
                <w:rFonts w:eastAsia="Times New Roman" w:cs="Times New Roman"/>
                <w:sz w:val="15"/>
                <w:szCs w:val="15"/>
                <w:lang w:eastAsia="cs-CZ"/>
              </w:rPr>
              <w:t xml:space="preserve">této </w:t>
            </w:r>
            <w:r w:rsidRPr="00246E8D">
              <w:rPr>
                <w:rFonts w:eastAsia="Times New Roman" w:cs="Times New Roman"/>
                <w:sz w:val="15"/>
                <w:szCs w:val="15"/>
                <w:lang w:eastAsia="cs-CZ"/>
              </w:rPr>
              <w:t>zadávací dokumentace</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5D13584" w14:textId="520DFF5D" w:rsidR="00C445A3" w:rsidRPr="00C0416E" w:rsidRDefault="00433116" w:rsidP="00646BC3">
            <w:pPr>
              <w:widowControl w:val="0"/>
              <w:tabs>
                <w:tab w:val="left" w:pos="7227"/>
              </w:tabs>
              <w:spacing w:line="288" w:lineRule="auto"/>
              <w:ind w:left="0" w:right="67"/>
              <w:jc w:val="both"/>
              <w:rPr>
                <w:rFonts w:eastAsia="Times New Roman" w:cs="Times New Roman"/>
                <w:sz w:val="15"/>
                <w:szCs w:val="15"/>
                <w:lang w:eastAsia="cs-CZ"/>
              </w:rPr>
            </w:pPr>
            <w:r w:rsidRPr="00433116">
              <w:rPr>
                <w:rFonts w:eastAsia="Times New Roman" w:cs="Times New Roman"/>
                <w:sz w:val="15"/>
                <w:szCs w:val="15"/>
                <w:lang w:eastAsia="cs-CZ"/>
              </w:rPr>
              <w:t>6</w:t>
            </w:r>
            <w:r>
              <w:rPr>
                <w:rFonts w:eastAsia="Times New Roman" w:cs="Times New Roman"/>
                <w:sz w:val="15"/>
                <w:szCs w:val="15"/>
                <w:lang w:eastAsia="cs-CZ"/>
              </w:rPr>
              <w:t xml:space="preserve"> bodů</w:t>
            </w:r>
            <w:r w:rsidRPr="00433116">
              <w:rPr>
                <w:rFonts w:eastAsia="Times New Roman" w:cs="Times New Roman"/>
                <w:sz w:val="15"/>
                <w:szCs w:val="15"/>
                <w:lang w:eastAsia="cs-CZ"/>
              </w:rPr>
              <w:t xml:space="preserve"> (tj. max. 3 zkušenosti u každého</w:t>
            </w:r>
            <w:r>
              <w:rPr>
                <w:rFonts w:eastAsia="Times New Roman" w:cs="Times New Roman"/>
                <w:sz w:val="15"/>
                <w:szCs w:val="15"/>
                <w:lang w:eastAsia="cs-CZ"/>
              </w:rPr>
              <w:t xml:space="preserve"> </w:t>
            </w:r>
            <w:r w:rsidRPr="00433116">
              <w:rPr>
                <w:rFonts w:eastAsia="Times New Roman" w:cs="Times New Roman"/>
                <w:sz w:val="15"/>
                <w:szCs w:val="15"/>
                <w:lang w:eastAsia="cs-CZ"/>
              </w:rPr>
              <w:t>člena týmu)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8EC876" w14:textId="230667EA" w:rsidR="00C445A3" w:rsidRPr="00C0416E" w:rsidRDefault="00C81ED4" w:rsidP="00646BC3">
            <w:pPr>
              <w:widowControl w:val="0"/>
              <w:tabs>
                <w:tab w:val="left" w:pos="7227"/>
              </w:tabs>
              <w:spacing w:line="288" w:lineRule="auto"/>
              <w:ind w:left="0" w:right="67"/>
              <w:jc w:val="both"/>
              <w:rPr>
                <w:rFonts w:eastAsia="Times New Roman" w:cs="Times New Roman"/>
                <w:sz w:val="15"/>
                <w:szCs w:val="15"/>
                <w:lang w:eastAsia="cs-CZ"/>
              </w:rPr>
            </w:pPr>
            <w:r w:rsidRPr="00C81ED4">
              <w:rPr>
                <w:rFonts w:eastAsia="Times New Roman" w:cs="Times New Roman"/>
                <w:sz w:val="15"/>
                <w:szCs w:val="15"/>
                <w:lang w:eastAsia="cs-CZ"/>
              </w:rPr>
              <w:t xml:space="preserve">Dle % zapojení do činnosti právního sub-týmu vyplývajícího </w:t>
            </w:r>
            <w:proofErr w:type="gramStart"/>
            <w:r w:rsidRPr="00C81ED4">
              <w:rPr>
                <w:rFonts w:eastAsia="Times New Roman" w:cs="Times New Roman"/>
                <w:sz w:val="15"/>
                <w:szCs w:val="15"/>
                <w:lang w:eastAsia="cs-CZ"/>
              </w:rPr>
              <w:t>z</w:t>
            </w:r>
            <w:proofErr w:type="gramEnd"/>
            <w:r>
              <w:rPr>
                <w:rFonts w:eastAsia="Times New Roman" w:cs="Times New Roman"/>
                <w:sz w:val="15"/>
                <w:szCs w:val="15"/>
                <w:lang w:eastAsia="cs-CZ"/>
              </w:rPr>
              <w:t xml:space="preserve"> </w:t>
            </w:r>
            <w:r w:rsidRPr="00C81ED4">
              <w:rPr>
                <w:rFonts w:eastAsia="Times New Roman" w:cs="Times New Roman"/>
                <w:sz w:val="15"/>
                <w:szCs w:val="15"/>
                <w:lang w:eastAsia="cs-CZ"/>
              </w:rPr>
              <w:t xml:space="preserve">uchazečem vyplněné </w:t>
            </w:r>
            <w:r w:rsidRPr="00B726D9">
              <w:rPr>
                <w:rFonts w:eastAsia="Times New Roman" w:cs="Times New Roman"/>
                <w:sz w:val="15"/>
                <w:szCs w:val="15"/>
                <w:lang w:eastAsia="cs-CZ"/>
              </w:rPr>
              <w:t>Přílohy č. 2 Smlouvy</w:t>
            </w:r>
          </w:p>
        </w:tc>
      </w:tr>
      <w:tr w:rsidR="00532157" w:rsidRPr="00C0416E" w14:paraId="4A0210BD" w14:textId="77777777" w:rsidTr="0078030E">
        <w:trPr>
          <w:trHeight w:val="274"/>
        </w:trPr>
        <w:tc>
          <w:tcPr>
            <w:tcW w:w="992" w:type="dxa"/>
            <w:tcBorders>
              <w:top w:val="single" w:sz="4" w:space="0" w:color="auto"/>
              <w:left w:val="single" w:sz="4" w:space="0" w:color="auto"/>
              <w:bottom w:val="single" w:sz="4" w:space="0" w:color="auto"/>
              <w:right w:val="single" w:sz="4" w:space="0" w:color="auto"/>
            </w:tcBorders>
            <w:shd w:val="clear" w:color="auto" w:fill="auto"/>
          </w:tcPr>
          <w:p w14:paraId="66E6291F" w14:textId="42FB7E98" w:rsidR="00532157" w:rsidRPr="00C0416E" w:rsidRDefault="009A5E7B" w:rsidP="00532157">
            <w:pPr>
              <w:widowControl w:val="0"/>
              <w:tabs>
                <w:tab w:val="left" w:pos="7227"/>
              </w:tabs>
              <w:spacing w:line="288" w:lineRule="auto"/>
              <w:ind w:left="0" w:right="67"/>
              <w:rPr>
                <w:rFonts w:eastAsia="Times New Roman" w:cs="Times New Roman"/>
                <w:sz w:val="15"/>
                <w:szCs w:val="15"/>
                <w:lang w:eastAsia="cs-CZ"/>
              </w:rPr>
            </w:pPr>
            <w:r>
              <w:rPr>
                <w:rFonts w:eastAsia="Times New Roman" w:cs="Times New Roman"/>
                <w:b/>
                <w:bCs/>
                <w:sz w:val="15"/>
                <w:szCs w:val="15"/>
                <w:u w:val="single"/>
                <w:lang w:eastAsia="cs-CZ"/>
              </w:rPr>
              <w:t xml:space="preserve">2. </w:t>
            </w:r>
            <w:r w:rsidR="00532157" w:rsidRPr="00FB11FE">
              <w:rPr>
                <w:rFonts w:eastAsia="Times New Roman" w:cs="Times New Roman"/>
                <w:b/>
                <w:bCs/>
                <w:sz w:val="15"/>
                <w:szCs w:val="15"/>
                <w:u w:val="single"/>
                <w:lang w:eastAsia="cs-CZ"/>
              </w:rPr>
              <w:t>Člen týmu L</w:t>
            </w:r>
            <w:r>
              <w:rPr>
                <w:rFonts w:eastAsia="Times New Roman" w:cs="Times New Roman"/>
                <w:b/>
                <w:bCs/>
                <w:sz w:val="15"/>
                <w:szCs w:val="15"/>
                <w:u w:val="single"/>
                <w:lang w:eastAsia="cs-CZ"/>
              </w:rPr>
              <w:t>3</w:t>
            </w:r>
            <w:r w:rsidR="00532157" w:rsidRPr="00FB11FE">
              <w:rPr>
                <w:rFonts w:eastAsia="Times New Roman" w:cs="Times New Roman"/>
                <w:b/>
                <w:bCs/>
                <w:sz w:val="15"/>
                <w:szCs w:val="15"/>
                <w:u w:val="single"/>
                <w:lang w:eastAsia="cs-CZ"/>
              </w:rPr>
              <w:t xml:space="preserve"> – L</w:t>
            </w:r>
            <w:r>
              <w:rPr>
                <w:rFonts w:eastAsia="Times New Roman" w:cs="Times New Roman"/>
                <w:b/>
                <w:bCs/>
                <w:sz w:val="15"/>
                <w:szCs w:val="15"/>
                <w:u w:val="single"/>
                <w:lang w:eastAsia="cs-CZ"/>
              </w:rPr>
              <w:t>4</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26C46E38" w14:textId="2DA3A48E" w:rsidR="00532157" w:rsidRPr="00FB11FE" w:rsidRDefault="00532157" w:rsidP="00532157">
            <w:pPr>
              <w:widowControl w:val="0"/>
              <w:ind w:left="0"/>
              <w:jc w:val="both"/>
              <w:rPr>
                <w:rFonts w:eastAsia="Times New Roman" w:cs="Times New Roman"/>
                <w:sz w:val="15"/>
                <w:szCs w:val="15"/>
                <w:lang w:eastAsia="cs-CZ"/>
              </w:rPr>
            </w:pPr>
            <w:r w:rsidRPr="00FB11FE">
              <w:rPr>
                <w:rFonts w:eastAsia="Times New Roman" w:cs="Times New Roman"/>
                <w:sz w:val="15"/>
                <w:szCs w:val="15"/>
                <w:lang w:eastAsia="cs-CZ"/>
              </w:rPr>
              <w:t xml:space="preserve">Účast na </w:t>
            </w:r>
            <w:r w:rsidR="00657214">
              <w:t xml:space="preserve"> </w:t>
            </w:r>
            <w:r w:rsidR="00657214" w:rsidRPr="00657214">
              <w:rPr>
                <w:rFonts w:eastAsia="Times New Roman" w:cs="Times New Roman"/>
                <w:sz w:val="15"/>
                <w:szCs w:val="15"/>
                <w:lang w:eastAsia="cs-CZ"/>
              </w:rPr>
              <w:t xml:space="preserve">právním </w:t>
            </w:r>
            <w:r w:rsidRPr="00FB11FE">
              <w:rPr>
                <w:rFonts w:eastAsia="Times New Roman" w:cs="Times New Roman"/>
                <w:sz w:val="15"/>
                <w:szCs w:val="15"/>
                <w:lang w:eastAsia="cs-CZ"/>
              </w:rPr>
              <w:t xml:space="preserve">poradenství u PPP projektů liniové dopravní infrastruktury, </w:t>
            </w:r>
            <w:r w:rsidR="009A5E7B" w:rsidRPr="009A5E7B">
              <w:rPr>
                <w:rFonts w:eastAsia="Times New Roman" w:cs="Times New Roman"/>
                <w:sz w:val="15"/>
                <w:szCs w:val="15"/>
                <w:lang w:eastAsia="cs-CZ"/>
              </w:rPr>
              <w:t>přičemž je dostačující, pokud poradenství bylo poskytováno v rámci projektu, který měl/má být formou PPP realizován, tj. poradenství bylo poskytováno v rámci ověřování či přípravy takového projektu, aniž by bylo rozhodné, zda tento projekt dosáhl Smluvního či Finančního uzavření, tj. zda projekt byl nebo nebyl realizován, přičemž požadováno je, aby se jednalo o poradenství, na základě jehož výsledku bylo rozhodnuto alespoň o zahájení realizace zadávacího řízení na soukromého partnera či o poradenství v rámci samotného zadávacího řízení na soukromého partnera</w:t>
            </w:r>
            <w:r w:rsidR="009A5E7B">
              <w:rPr>
                <w:rFonts w:eastAsia="Times New Roman" w:cs="Times New Roman"/>
                <w:sz w:val="15"/>
                <w:szCs w:val="15"/>
                <w:lang w:eastAsia="cs-CZ"/>
              </w:rPr>
              <w:t xml:space="preserve"> </w:t>
            </w:r>
            <w:r w:rsidRPr="00FB11FE">
              <w:rPr>
                <w:rFonts w:eastAsia="Times New Roman" w:cs="Times New Roman"/>
                <w:sz w:val="15"/>
                <w:szCs w:val="15"/>
                <w:lang w:eastAsia="cs-CZ"/>
              </w:rPr>
              <w:t>– počet projektů nad rámec kvalifikačního kritéria (bylo-li prokázáno projektem liniové dopravní infrastruktury realizovaným formou PPP).</w:t>
            </w:r>
            <w:r w:rsidR="009A5E7B">
              <w:rPr>
                <w:rStyle w:val="Znakapoznpodarou"/>
                <w:rFonts w:eastAsia="Times New Roman" w:cs="Times New Roman"/>
                <w:sz w:val="15"/>
                <w:szCs w:val="15"/>
                <w:lang w:eastAsia="cs-CZ"/>
              </w:rPr>
              <w:footnoteReference w:id="3"/>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C519A8" w14:textId="26344942" w:rsidR="00532157" w:rsidRPr="00246E8D" w:rsidRDefault="00532157" w:rsidP="00532157">
            <w:pPr>
              <w:widowControl w:val="0"/>
              <w:tabs>
                <w:tab w:val="left" w:pos="7227"/>
              </w:tabs>
              <w:spacing w:line="288" w:lineRule="auto"/>
              <w:ind w:left="0" w:right="67"/>
              <w:jc w:val="both"/>
              <w:rPr>
                <w:rFonts w:eastAsia="Times New Roman" w:cs="Times New Roman"/>
                <w:sz w:val="15"/>
                <w:szCs w:val="15"/>
                <w:lang w:eastAsia="cs-CZ"/>
              </w:rPr>
            </w:pPr>
            <w:r w:rsidRPr="00246E8D">
              <w:rPr>
                <w:rFonts w:eastAsia="Times New Roman" w:cs="Times New Roman"/>
                <w:sz w:val="15"/>
                <w:szCs w:val="15"/>
                <w:lang w:eastAsia="cs-CZ"/>
              </w:rPr>
              <w:t xml:space="preserve">2 body za každou 1 zkušenost nad rámec kvalifikačního kritéria dle odst. </w:t>
            </w:r>
            <w:r>
              <w:rPr>
                <w:rFonts w:eastAsia="Times New Roman" w:cs="Times New Roman"/>
                <w:sz w:val="15"/>
                <w:szCs w:val="15"/>
                <w:lang w:eastAsia="cs-CZ"/>
              </w:rPr>
              <w:t>8</w:t>
            </w:r>
            <w:r w:rsidRPr="00246E8D">
              <w:rPr>
                <w:rFonts w:eastAsia="Times New Roman" w:cs="Times New Roman"/>
                <w:sz w:val="15"/>
                <w:szCs w:val="15"/>
                <w:lang w:eastAsia="cs-CZ"/>
              </w:rPr>
              <w:t xml:space="preserve">.4. </w:t>
            </w:r>
            <w:r>
              <w:rPr>
                <w:rFonts w:eastAsia="Times New Roman" w:cs="Times New Roman"/>
                <w:sz w:val="15"/>
                <w:szCs w:val="15"/>
                <w:lang w:eastAsia="cs-CZ"/>
              </w:rPr>
              <w:t xml:space="preserve">této </w:t>
            </w:r>
            <w:r w:rsidRPr="00246E8D">
              <w:rPr>
                <w:rFonts w:eastAsia="Times New Roman" w:cs="Times New Roman"/>
                <w:sz w:val="15"/>
                <w:szCs w:val="15"/>
                <w:lang w:eastAsia="cs-CZ"/>
              </w:rPr>
              <w:t>zadávací dokumentace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762E88" w14:textId="3EEB3FBE" w:rsidR="00532157" w:rsidRPr="00433116" w:rsidRDefault="00532157" w:rsidP="00532157">
            <w:pPr>
              <w:widowControl w:val="0"/>
              <w:tabs>
                <w:tab w:val="left" w:pos="7227"/>
              </w:tabs>
              <w:spacing w:line="288" w:lineRule="auto"/>
              <w:ind w:left="0" w:right="67"/>
              <w:jc w:val="both"/>
              <w:rPr>
                <w:rFonts w:eastAsia="Times New Roman" w:cs="Times New Roman"/>
                <w:sz w:val="15"/>
                <w:szCs w:val="15"/>
                <w:lang w:eastAsia="cs-CZ"/>
              </w:rPr>
            </w:pPr>
            <w:r w:rsidRPr="00433116">
              <w:rPr>
                <w:rFonts w:eastAsia="Times New Roman" w:cs="Times New Roman"/>
                <w:sz w:val="15"/>
                <w:szCs w:val="15"/>
                <w:lang w:eastAsia="cs-CZ"/>
              </w:rPr>
              <w:t>6</w:t>
            </w:r>
            <w:r>
              <w:rPr>
                <w:rFonts w:eastAsia="Times New Roman" w:cs="Times New Roman"/>
                <w:sz w:val="15"/>
                <w:szCs w:val="15"/>
                <w:lang w:eastAsia="cs-CZ"/>
              </w:rPr>
              <w:t xml:space="preserve"> bodů</w:t>
            </w:r>
            <w:r w:rsidRPr="00433116">
              <w:rPr>
                <w:rFonts w:eastAsia="Times New Roman" w:cs="Times New Roman"/>
                <w:sz w:val="15"/>
                <w:szCs w:val="15"/>
                <w:lang w:eastAsia="cs-CZ"/>
              </w:rPr>
              <w:t xml:space="preserve"> (tj. max. 3 zkušenosti u každého</w:t>
            </w:r>
            <w:r>
              <w:rPr>
                <w:rFonts w:eastAsia="Times New Roman" w:cs="Times New Roman"/>
                <w:sz w:val="15"/>
                <w:szCs w:val="15"/>
                <w:lang w:eastAsia="cs-CZ"/>
              </w:rPr>
              <w:t xml:space="preserve"> </w:t>
            </w:r>
            <w:r w:rsidRPr="00433116">
              <w:rPr>
                <w:rFonts w:eastAsia="Times New Roman" w:cs="Times New Roman"/>
                <w:sz w:val="15"/>
                <w:szCs w:val="15"/>
                <w:lang w:eastAsia="cs-CZ"/>
              </w:rPr>
              <w:t>člena týmu)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E3CB7A" w14:textId="61F942E6" w:rsidR="00532157" w:rsidRPr="00C81ED4" w:rsidRDefault="00532157" w:rsidP="00532157">
            <w:pPr>
              <w:widowControl w:val="0"/>
              <w:tabs>
                <w:tab w:val="left" w:pos="7227"/>
              </w:tabs>
              <w:spacing w:line="288" w:lineRule="auto"/>
              <w:ind w:left="0" w:right="67"/>
              <w:jc w:val="both"/>
              <w:rPr>
                <w:rFonts w:eastAsia="Times New Roman" w:cs="Times New Roman"/>
                <w:sz w:val="15"/>
                <w:szCs w:val="15"/>
                <w:lang w:eastAsia="cs-CZ"/>
              </w:rPr>
            </w:pPr>
            <w:r w:rsidRPr="00C81ED4">
              <w:rPr>
                <w:rFonts w:eastAsia="Times New Roman" w:cs="Times New Roman"/>
                <w:sz w:val="15"/>
                <w:szCs w:val="15"/>
                <w:lang w:eastAsia="cs-CZ"/>
              </w:rPr>
              <w:t xml:space="preserve">Dle % zapojení do činnosti právního sub-týmu vyplývajícího </w:t>
            </w:r>
            <w:proofErr w:type="gramStart"/>
            <w:r w:rsidRPr="00C81ED4">
              <w:rPr>
                <w:rFonts w:eastAsia="Times New Roman" w:cs="Times New Roman"/>
                <w:sz w:val="15"/>
                <w:szCs w:val="15"/>
                <w:lang w:eastAsia="cs-CZ"/>
              </w:rPr>
              <w:t>z</w:t>
            </w:r>
            <w:proofErr w:type="gramEnd"/>
            <w:r>
              <w:rPr>
                <w:rFonts w:eastAsia="Times New Roman" w:cs="Times New Roman"/>
                <w:sz w:val="15"/>
                <w:szCs w:val="15"/>
                <w:lang w:eastAsia="cs-CZ"/>
              </w:rPr>
              <w:t xml:space="preserve"> </w:t>
            </w:r>
            <w:r w:rsidRPr="00C81ED4">
              <w:rPr>
                <w:rFonts w:eastAsia="Times New Roman" w:cs="Times New Roman"/>
                <w:sz w:val="15"/>
                <w:szCs w:val="15"/>
                <w:lang w:eastAsia="cs-CZ"/>
              </w:rPr>
              <w:t xml:space="preserve">uchazečem vyplněné </w:t>
            </w:r>
            <w:r w:rsidRPr="00B726D9">
              <w:rPr>
                <w:rFonts w:eastAsia="Times New Roman" w:cs="Times New Roman"/>
                <w:sz w:val="15"/>
                <w:szCs w:val="15"/>
                <w:lang w:eastAsia="cs-CZ"/>
              </w:rPr>
              <w:t>Přílohy č. 2 Smlouvy</w:t>
            </w:r>
          </w:p>
        </w:tc>
      </w:tr>
      <w:tr w:rsidR="00C445A3" w:rsidRPr="00C0416E" w14:paraId="1DB8558D" w14:textId="0CAD4192" w:rsidTr="00532157">
        <w:trPr>
          <w:trHeight w:val="2544"/>
        </w:trPr>
        <w:tc>
          <w:tcPr>
            <w:tcW w:w="992" w:type="dxa"/>
            <w:tcBorders>
              <w:top w:val="single" w:sz="4" w:space="0" w:color="auto"/>
              <w:left w:val="single" w:sz="4" w:space="0" w:color="auto"/>
              <w:bottom w:val="single" w:sz="4" w:space="0" w:color="auto"/>
              <w:right w:val="single" w:sz="4" w:space="0" w:color="auto"/>
            </w:tcBorders>
            <w:shd w:val="clear" w:color="auto" w:fill="auto"/>
          </w:tcPr>
          <w:p w14:paraId="411DF716" w14:textId="5D9B85EA" w:rsidR="00C445A3" w:rsidRPr="00C0416E" w:rsidRDefault="009A5E7B" w:rsidP="00646BC3">
            <w:pPr>
              <w:widowControl w:val="0"/>
              <w:tabs>
                <w:tab w:val="left" w:pos="7227"/>
              </w:tabs>
              <w:spacing w:line="288" w:lineRule="auto"/>
              <w:ind w:left="0" w:right="67"/>
              <w:rPr>
                <w:rFonts w:eastAsia="Times New Roman" w:cs="Times New Roman"/>
                <w:sz w:val="15"/>
                <w:szCs w:val="15"/>
                <w:lang w:eastAsia="cs-CZ"/>
              </w:rPr>
            </w:pPr>
            <w:r>
              <w:rPr>
                <w:rFonts w:eastAsia="Times New Roman" w:cs="Times New Roman"/>
                <w:sz w:val="15"/>
                <w:szCs w:val="15"/>
                <w:lang w:eastAsia="cs-CZ"/>
              </w:rPr>
              <w:lastRenderedPageBreak/>
              <w:t>3</w:t>
            </w:r>
            <w:r w:rsidR="00C445A3" w:rsidRPr="00C0416E">
              <w:rPr>
                <w:rFonts w:eastAsia="Times New Roman" w:cs="Times New Roman"/>
                <w:sz w:val="15"/>
                <w:szCs w:val="15"/>
                <w:lang w:eastAsia="cs-CZ"/>
              </w:rPr>
              <w:t xml:space="preserve">. </w:t>
            </w:r>
            <w:r w:rsidR="00C445A3" w:rsidRPr="00C0416E">
              <w:rPr>
                <w:rFonts w:eastAsia="Verdana" w:cs="Times New Roman"/>
                <w:sz w:val="15"/>
                <w:szCs w:val="15"/>
              </w:rPr>
              <w:t xml:space="preserve"> </w:t>
            </w:r>
            <w:r w:rsidR="0076488B">
              <w:t xml:space="preserve"> </w:t>
            </w:r>
            <w:r w:rsidR="0076488B" w:rsidRPr="0076488B">
              <w:rPr>
                <w:rFonts w:eastAsia="Times New Roman" w:cs="Times New Roman"/>
                <w:b/>
                <w:bCs/>
                <w:sz w:val="15"/>
                <w:szCs w:val="15"/>
                <w:u w:val="single"/>
                <w:lang w:eastAsia="cs-CZ"/>
              </w:rPr>
              <w:t>Člen týmu F1 – F</w:t>
            </w:r>
            <w:r w:rsidR="007A2941">
              <w:rPr>
                <w:rFonts w:eastAsia="Times New Roman" w:cs="Times New Roman"/>
                <w:b/>
                <w:bCs/>
                <w:sz w:val="15"/>
                <w:szCs w:val="15"/>
                <w:u w:val="single"/>
                <w:lang w:eastAsia="cs-CZ"/>
              </w:rPr>
              <w:t>2</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59CE5ED" w14:textId="79ECA4F0" w:rsidR="00C445A3" w:rsidRPr="00C0416E" w:rsidRDefault="00BD3DE9" w:rsidP="00646BC3">
            <w:pPr>
              <w:widowControl w:val="0"/>
              <w:ind w:left="0"/>
              <w:jc w:val="both"/>
              <w:rPr>
                <w:rFonts w:eastAsia="Times New Roman" w:cs="Times New Roman"/>
                <w:sz w:val="15"/>
                <w:szCs w:val="15"/>
                <w:lang w:eastAsia="cs-CZ"/>
              </w:rPr>
            </w:pPr>
            <w:r w:rsidRPr="00BD3DE9">
              <w:rPr>
                <w:rFonts w:eastAsia="Times New Roman" w:cs="Times New Roman"/>
                <w:sz w:val="15"/>
                <w:szCs w:val="15"/>
                <w:lang w:eastAsia="cs-CZ"/>
              </w:rPr>
              <w:t xml:space="preserve">Účast na </w:t>
            </w:r>
            <w:r w:rsidR="007464F2" w:rsidRPr="007464F2">
              <w:rPr>
                <w:rFonts w:eastAsia="Times New Roman" w:cs="Times New Roman"/>
                <w:sz w:val="15"/>
                <w:szCs w:val="15"/>
                <w:lang w:eastAsia="cs-CZ"/>
              </w:rPr>
              <w:t>finanční</w:t>
            </w:r>
            <w:r w:rsidR="007464F2">
              <w:rPr>
                <w:rFonts w:eastAsia="Times New Roman" w:cs="Times New Roman"/>
                <w:sz w:val="15"/>
                <w:szCs w:val="15"/>
                <w:lang w:eastAsia="cs-CZ"/>
              </w:rPr>
              <w:t>m</w:t>
            </w:r>
            <w:r w:rsidR="007464F2" w:rsidRPr="007464F2">
              <w:rPr>
                <w:rFonts w:eastAsia="Times New Roman" w:cs="Times New Roman"/>
                <w:sz w:val="15"/>
                <w:szCs w:val="15"/>
                <w:lang w:eastAsia="cs-CZ"/>
              </w:rPr>
              <w:t xml:space="preserve"> a/nebo ekonomické</w:t>
            </w:r>
            <w:r w:rsidR="007464F2">
              <w:rPr>
                <w:rFonts w:eastAsia="Times New Roman" w:cs="Times New Roman"/>
                <w:sz w:val="15"/>
                <w:szCs w:val="15"/>
                <w:lang w:eastAsia="cs-CZ"/>
              </w:rPr>
              <w:t>m</w:t>
            </w:r>
            <w:r w:rsidR="007464F2" w:rsidRPr="007464F2">
              <w:rPr>
                <w:rFonts w:eastAsia="Times New Roman" w:cs="Times New Roman"/>
                <w:sz w:val="15"/>
                <w:szCs w:val="15"/>
                <w:lang w:eastAsia="cs-CZ"/>
              </w:rPr>
              <w:t xml:space="preserve"> </w:t>
            </w:r>
            <w:r w:rsidRPr="00BD3DE9">
              <w:rPr>
                <w:rFonts w:eastAsia="Times New Roman" w:cs="Times New Roman"/>
                <w:sz w:val="15"/>
                <w:szCs w:val="15"/>
                <w:lang w:eastAsia="cs-CZ"/>
              </w:rPr>
              <w:t>poradenství u PPP projektů liniové dopravní infrastruktury, které úspěšně dosáhly Finančního uzavření – počet projektů nad rámec kvalifikačního kritéria (bylo-li prokázáno projektem liniové dopravní infrastruktury realizovaným formou PPP).</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2D9441" w14:textId="0EDC908B" w:rsidR="00C445A3" w:rsidRPr="00C0416E" w:rsidRDefault="00703365" w:rsidP="00646BC3">
            <w:pPr>
              <w:widowControl w:val="0"/>
              <w:tabs>
                <w:tab w:val="left" w:pos="7227"/>
              </w:tabs>
              <w:spacing w:line="288" w:lineRule="auto"/>
              <w:ind w:left="0" w:right="67"/>
              <w:jc w:val="both"/>
              <w:rPr>
                <w:rFonts w:eastAsia="Times New Roman" w:cs="Times New Roman"/>
                <w:sz w:val="15"/>
                <w:szCs w:val="15"/>
                <w:lang w:eastAsia="cs-CZ"/>
              </w:rPr>
            </w:pPr>
            <w:r w:rsidRPr="00703365">
              <w:rPr>
                <w:rFonts w:eastAsia="Times New Roman" w:cs="Times New Roman"/>
                <w:sz w:val="15"/>
                <w:szCs w:val="15"/>
                <w:lang w:eastAsia="cs-CZ"/>
              </w:rPr>
              <w:t>2 body za každou 1 zkušenost nad rámec kvalifikačního kritéria dle odst. 8.4. této zadávací dokumentace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9D75AD" w14:textId="5A793682" w:rsidR="00C445A3" w:rsidRPr="00C0416E" w:rsidRDefault="00662DAB" w:rsidP="00646BC3">
            <w:pPr>
              <w:widowControl w:val="0"/>
              <w:tabs>
                <w:tab w:val="left" w:pos="7227"/>
              </w:tabs>
              <w:spacing w:line="288" w:lineRule="auto"/>
              <w:ind w:left="0" w:right="67"/>
              <w:jc w:val="both"/>
              <w:rPr>
                <w:rFonts w:eastAsia="Times New Roman" w:cs="Times New Roman"/>
                <w:sz w:val="15"/>
                <w:szCs w:val="15"/>
                <w:lang w:eastAsia="cs-CZ"/>
              </w:rPr>
            </w:pPr>
            <w:r w:rsidRPr="00662DAB">
              <w:rPr>
                <w:rFonts w:eastAsia="Times New Roman" w:cs="Times New Roman"/>
                <w:sz w:val="15"/>
                <w:szCs w:val="15"/>
                <w:lang w:eastAsia="cs-CZ"/>
              </w:rPr>
              <w:t>6 (tj. max. 3 zkušenosti u každého člena týmu)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92453" w14:textId="0A39CAF1" w:rsidR="00C445A3" w:rsidRPr="00C0416E" w:rsidRDefault="00296A81" w:rsidP="00646BC3">
            <w:pPr>
              <w:widowControl w:val="0"/>
              <w:tabs>
                <w:tab w:val="left" w:pos="7227"/>
              </w:tabs>
              <w:spacing w:line="288" w:lineRule="auto"/>
              <w:ind w:left="0" w:right="67"/>
              <w:jc w:val="both"/>
              <w:rPr>
                <w:rFonts w:eastAsia="Times New Roman" w:cs="Times New Roman"/>
                <w:sz w:val="15"/>
                <w:szCs w:val="15"/>
                <w:lang w:eastAsia="cs-CZ"/>
              </w:rPr>
            </w:pPr>
            <w:r w:rsidRPr="00296A81">
              <w:rPr>
                <w:rFonts w:eastAsia="Times New Roman" w:cs="Times New Roman"/>
                <w:sz w:val="15"/>
                <w:szCs w:val="15"/>
                <w:lang w:eastAsia="cs-CZ"/>
              </w:rPr>
              <w:t xml:space="preserve">Dle % zapojení do činnosti finančního sub-týmu vyplývajícího </w:t>
            </w:r>
            <w:proofErr w:type="gramStart"/>
            <w:r w:rsidRPr="00296A81">
              <w:rPr>
                <w:rFonts w:eastAsia="Times New Roman" w:cs="Times New Roman"/>
                <w:sz w:val="15"/>
                <w:szCs w:val="15"/>
                <w:lang w:eastAsia="cs-CZ"/>
              </w:rPr>
              <w:t>z</w:t>
            </w:r>
            <w:proofErr w:type="gramEnd"/>
            <w:r w:rsidRPr="00296A81">
              <w:rPr>
                <w:rFonts w:eastAsia="Times New Roman" w:cs="Times New Roman"/>
                <w:sz w:val="15"/>
                <w:szCs w:val="15"/>
                <w:lang w:eastAsia="cs-CZ"/>
              </w:rPr>
              <w:t xml:space="preserve"> uchazečem vyplněné </w:t>
            </w:r>
            <w:r w:rsidRPr="00B726D9">
              <w:rPr>
                <w:rFonts w:eastAsia="Times New Roman" w:cs="Times New Roman"/>
                <w:sz w:val="15"/>
                <w:szCs w:val="15"/>
                <w:lang w:eastAsia="cs-CZ"/>
              </w:rPr>
              <w:t>Přílohy č. 2 Smlouvy</w:t>
            </w:r>
          </w:p>
        </w:tc>
      </w:tr>
      <w:tr w:rsidR="007A2941" w:rsidRPr="00C0416E" w14:paraId="6B34FA5B" w14:textId="77777777" w:rsidTr="00532157">
        <w:trPr>
          <w:trHeight w:val="2544"/>
        </w:trPr>
        <w:tc>
          <w:tcPr>
            <w:tcW w:w="992" w:type="dxa"/>
            <w:tcBorders>
              <w:top w:val="single" w:sz="4" w:space="0" w:color="auto"/>
              <w:left w:val="single" w:sz="4" w:space="0" w:color="auto"/>
              <w:bottom w:val="single" w:sz="4" w:space="0" w:color="auto"/>
              <w:right w:val="single" w:sz="4" w:space="0" w:color="auto"/>
            </w:tcBorders>
            <w:shd w:val="clear" w:color="auto" w:fill="auto"/>
          </w:tcPr>
          <w:p w14:paraId="158A4119" w14:textId="7F334F92" w:rsidR="007A2941" w:rsidRPr="00C0416E" w:rsidRDefault="007A2941" w:rsidP="007A2941">
            <w:pPr>
              <w:widowControl w:val="0"/>
              <w:tabs>
                <w:tab w:val="left" w:pos="7227"/>
              </w:tabs>
              <w:spacing w:line="288" w:lineRule="auto"/>
              <w:ind w:left="0" w:right="67"/>
              <w:rPr>
                <w:rFonts w:eastAsia="Times New Roman" w:cs="Times New Roman"/>
                <w:sz w:val="15"/>
                <w:szCs w:val="15"/>
                <w:lang w:eastAsia="cs-CZ"/>
              </w:rPr>
            </w:pPr>
            <w:r>
              <w:rPr>
                <w:rFonts w:eastAsia="Times New Roman" w:cs="Times New Roman"/>
                <w:sz w:val="15"/>
                <w:szCs w:val="15"/>
                <w:lang w:eastAsia="cs-CZ"/>
              </w:rPr>
              <w:t>4</w:t>
            </w:r>
            <w:r w:rsidRPr="007A2941">
              <w:rPr>
                <w:rFonts w:eastAsia="Times New Roman" w:cs="Times New Roman"/>
                <w:sz w:val="15"/>
                <w:szCs w:val="15"/>
                <w:lang w:eastAsia="cs-CZ"/>
              </w:rPr>
              <w:t xml:space="preserve">.   </w:t>
            </w:r>
            <w:r w:rsidRPr="0016041E">
              <w:rPr>
                <w:rFonts w:eastAsia="Times New Roman" w:cs="Times New Roman"/>
                <w:b/>
                <w:bCs/>
                <w:sz w:val="15"/>
                <w:szCs w:val="15"/>
                <w:lang w:eastAsia="cs-CZ"/>
              </w:rPr>
              <w:t>Člen týmu F</w:t>
            </w:r>
            <w:r>
              <w:rPr>
                <w:rFonts w:eastAsia="Times New Roman" w:cs="Times New Roman"/>
                <w:b/>
                <w:bCs/>
                <w:sz w:val="15"/>
                <w:szCs w:val="15"/>
                <w:lang w:eastAsia="cs-CZ"/>
              </w:rPr>
              <w:t>3</w:t>
            </w:r>
            <w:r w:rsidRPr="0016041E">
              <w:rPr>
                <w:rFonts w:eastAsia="Times New Roman" w:cs="Times New Roman"/>
                <w:b/>
                <w:bCs/>
                <w:sz w:val="15"/>
                <w:szCs w:val="15"/>
                <w:lang w:eastAsia="cs-CZ"/>
              </w:rPr>
              <w:t xml:space="preserve"> – F</w:t>
            </w:r>
            <w:r>
              <w:rPr>
                <w:rFonts w:eastAsia="Times New Roman" w:cs="Times New Roman"/>
                <w:b/>
                <w:bCs/>
                <w:sz w:val="15"/>
                <w:szCs w:val="15"/>
                <w:lang w:eastAsia="cs-CZ"/>
              </w:rPr>
              <w:t>4</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73F0267C" w14:textId="068084BA" w:rsidR="007A2941" w:rsidRPr="00BD3DE9" w:rsidRDefault="007A2941" w:rsidP="007A2941">
            <w:pPr>
              <w:widowControl w:val="0"/>
              <w:ind w:left="0"/>
              <w:jc w:val="both"/>
              <w:rPr>
                <w:rFonts w:eastAsia="Times New Roman" w:cs="Times New Roman"/>
                <w:sz w:val="15"/>
                <w:szCs w:val="15"/>
                <w:lang w:eastAsia="cs-CZ"/>
              </w:rPr>
            </w:pPr>
            <w:r w:rsidRPr="00FB11FE">
              <w:rPr>
                <w:rFonts w:eastAsia="Times New Roman" w:cs="Times New Roman"/>
                <w:sz w:val="15"/>
                <w:szCs w:val="15"/>
                <w:lang w:eastAsia="cs-CZ"/>
              </w:rPr>
              <w:t xml:space="preserve">Účast na </w:t>
            </w:r>
            <w:r w:rsidR="007464F2" w:rsidRPr="007464F2">
              <w:rPr>
                <w:rFonts w:eastAsia="Times New Roman" w:cs="Times New Roman"/>
                <w:sz w:val="15"/>
                <w:szCs w:val="15"/>
                <w:lang w:eastAsia="cs-CZ"/>
              </w:rPr>
              <w:t>finančním a/nebo ekonomickém</w:t>
            </w:r>
            <w:r w:rsidR="007464F2" w:rsidRPr="007464F2" w:rsidDel="007464F2">
              <w:rPr>
                <w:rFonts w:eastAsia="Times New Roman" w:cs="Times New Roman"/>
                <w:sz w:val="15"/>
                <w:szCs w:val="15"/>
                <w:lang w:eastAsia="cs-CZ"/>
              </w:rPr>
              <w:t xml:space="preserve"> </w:t>
            </w:r>
            <w:r w:rsidRPr="00FB11FE">
              <w:rPr>
                <w:rFonts w:eastAsia="Times New Roman" w:cs="Times New Roman"/>
                <w:sz w:val="15"/>
                <w:szCs w:val="15"/>
                <w:lang w:eastAsia="cs-CZ"/>
              </w:rPr>
              <w:t xml:space="preserve">poradenství u PPP projektů liniové dopravní infrastruktury, </w:t>
            </w:r>
            <w:r w:rsidRPr="009A5E7B">
              <w:rPr>
                <w:rFonts w:eastAsia="Times New Roman" w:cs="Times New Roman"/>
                <w:sz w:val="15"/>
                <w:szCs w:val="15"/>
                <w:lang w:eastAsia="cs-CZ"/>
              </w:rPr>
              <w:t>přičemž je dostačující, pokud poradenství bylo poskytováno v rámci projektu, který měl/má být formou PPP realizován, tj. poradenství bylo poskytováno v rámci ověřování či přípravy takového projektu, aniž by bylo rozhodné, zda tento projekt dosáhl Smluvního či Finančního uzavření, tj. zda projekt byl nebo nebyl realizován, přičemž požadováno je, aby se jednalo o poradenství, na základě jehož výsledku bylo rozhodnuto alespoň o zahájení realizace zadávacího řízení na soukromého partnera či o poradenství v rámci samotného zadávacího řízení na soukromého partnera</w:t>
            </w:r>
            <w:r>
              <w:rPr>
                <w:rFonts w:eastAsia="Times New Roman" w:cs="Times New Roman"/>
                <w:sz w:val="15"/>
                <w:szCs w:val="15"/>
                <w:lang w:eastAsia="cs-CZ"/>
              </w:rPr>
              <w:t xml:space="preserve"> </w:t>
            </w:r>
            <w:r w:rsidRPr="00FB11FE">
              <w:rPr>
                <w:rFonts w:eastAsia="Times New Roman" w:cs="Times New Roman"/>
                <w:sz w:val="15"/>
                <w:szCs w:val="15"/>
                <w:lang w:eastAsia="cs-CZ"/>
              </w:rPr>
              <w:t>– počet projektů nad rámec kvalifikačního kritéria (bylo-li prokázáno projektem liniové dopravní infrastruktury realizovaným formou PPP).</w:t>
            </w:r>
            <w:r>
              <w:rPr>
                <w:rStyle w:val="Znakapoznpodarou"/>
                <w:rFonts w:eastAsia="Times New Roman" w:cs="Times New Roman"/>
                <w:sz w:val="15"/>
                <w:szCs w:val="15"/>
                <w:lang w:eastAsia="cs-CZ"/>
              </w:rPr>
              <w:footnoteReference w:id="4"/>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014B0C" w14:textId="611A11C1" w:rsidR="007A2941" w:rsidRPr="00703365" w:rsidRDefault="007A2941" w:rsidP="007A2941">
            <w:pPr>
              <w:widowControl w:val="0"/>
              <w:tabs>
                <w:tab w:val="left" w:pos="7227"/>
              </w:tabs>
              <w:spacing w:line="288" w:lineRule="auto"/>
              <w:ind w:left="0" w:right="67"/>
              <w:jc w:val="both"/>
              <w:rPr>
                <w:rFonts w:eastAsia="Times New Roman" w:cs="Times New Roman"/>
                <w:sz w:val="15"/>
                <w:szCs w:val="15"/>
                <w:lang w:eastAsia="cs-CZ"/>
              </w:rPr>
            </w:pPr>
            <w:r w:rsidRPr="00246E8D">
              <w:rPr>
                <w:rFonts w:eastAsia="Times New Roman" w:cs="Times New Roman"/>
                <w:sz w:val="15"/>
                <w:szCs w:val="15"/>
                <w:lang w:eastAsia="cs-CZ"/>
              </w:rPr>
              <w:t xml:space="preserve">2 body za každou 1 zkušenost nad rámec kvalifikačního kritéria dle odst. </w:t>
            </w:r>
            <w:r>
              <w:rPr>
                <w:rFonts w:eastAsia="Times New Roman" w:cs="Times New Roman"/>
                <w:sz w:val="15"/>
                <w:szCs w:val="15"/>
                <w:lang w:eastAsia="cs-CZ"/>
              </w:rPr>
              <w:t>8</w:t>
            </w:r>
            <w:r w:rsidRPr="00246E8D">
              <w:rPr>
                <w:rFonts w:eastAsia="Times New Roman" w:cs="Times New Roman"/>
                <w:sz w:val="15"/>
                <w:szCs w:val="15"/>
                <w:lang w:eastAsia="cs-CZ"/>
              </w:rPr>
              <w:t xml:space="preserve">.4. </w:t>
            </w:r>
            <w:r>
              <w:rPr>
                <w:rFonts w:eastAsia="Times New Roman" w:cs="Times New Roman"/>
                <w:sz w:val="15"/>
                <w:szCs w:val="15"/>
                <w:lang w:eastAsia="cs-CZ"/>
              </w:rPr>
              <w:t xml:space="preserve">této </w:t>
            </w:r>
            <w:r w:rsidRPr="00246E8D">
              <w:rPr>
                <w:rFonts w:eastAsia="Times New Roman" w:cs="Times New Roman"/>
                <w:sz w:val="15"/>
                <w:szCs w:val="15"/>
                <w:lang w:eastAsia="cs-CZ"/>
              </w:rPr>
              <w:t>zadávací dokumentace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A8E9B2" w14:textId="4027F50D" w:rsidR="007A2941" w:rsidRPr="00662DAB" w:rsidRDefault="007A2941" w:rsidP="007A2941">
            <w:pPr>
              <w:widowControl w:val="0"/>
              <w:tabs>
                <w:tab w:val="left" w:pos="7227"/>
              </w:tabs>
              <w:spacing w:line="288" w:lineRule="auto"/>
              <w:ind w:left="0" w:right="67"/>
              <w:jc w:val="both"/>
              <w:rPr>
                <w:rFonts w:eastAsia="Times New Roman" w:cs="Times New Roman"/>
                <w:sz w:val="15"/>
                <w:szCs w:val="15"/>
                <w:lang w:eastAsia="cs-CZ"/>
              </w:rPr>
            </w:pPr>
            <w:r w:rsidRPr="00433116">
              <w:rPr>
                <w:rFonts w:eastAsia="Times New Roman" w:cs="Times New Roman"/>
                <w:sz w:val="15"/>
                <w:szCs w:val="15"/>
                <w:lang w:eastAsia="cs-CZ"/>
              </w:rPr>
              <w:t>6</w:t>
            </w:r>
            <w:r>
              <w:rPr>
                <w:rFonts w:eastAsia="Times New Roman" w:cs="Times New Roman"/>
                <w:sz w:val="15"/>
                <w:szCs w:val="15"/>
                <w:lang w:eastAsia="cs-CZ"/>
              </w:rPr>
              <w:t xml:space="preserve"> bodů</w:t>
            </w:r>
            <w:r w:rsidRPr="00433116">
              <w:rPr>
                <w:rFonts w:eastAsia="Times New Roman" w:cs="Times New Roman"/>
                <w:sz w:val="15"/>
                <w:szCs w:val="15"/>
                <w:lang w:eastAsia="cs-CZ"/>
              </w:rPr>
              <w:t xml:space="preserve"> (tj. max. 3 zkušenosti u každého</w:t>
            </w:r>
            <w:r>
              <w:rPr>
                <w:rFonts w:eastAsia="Times New Roman" w:cs="Times New Roman"/>
                <w:sz w:val="15"/>
                <w:szCs w:val="15"/>
                <w:lang w:eastAsia="cs-CZ"/>
              </w:rPr>
              <w:t xml:space="preserve"> </w:t>
            </w:r>
            <w:r w:rsidRPr="00433116">
              <w:rPr>
                <w:rFonts w:eastAsia="Times New Roman" w:cs="Times New Roman"/>
                <w:sz w:val="15"/>
                <w:szCs w:val="15"/>
                <w:lang w:eastAsia="cs-CZ"/>
              </w:rPr>
              <w:t>člena týmu)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1A1F71" w14:textId="57F0C8B1" w:rsidR="007A2941" w:rsidRPr="00296A81" w:rsidRDefault="007A2941" w:rsidP="007A2941">
            <w:pPr>
              <w:widowControl w:val="0"/>
              <w:tabs>
                <w:tab w:val="left" w:pos="7227"/>
              </w:tabs>
              <w:spacing w:line="288" w:lineRule="auto"/>
              <w:ind w:left="0" w:right="67"/>
              <w:jc w:val="both"/>
              <w:rPr>
                <w:rFonts w:eastAsia="Times New Roman" w:cs="Times New Roman"/>
                <w:sz w:val="15"/>
                <w:szCs w:val="15"/>
                <w:lang w:eastAsia="cs-CZ"/>
              </w:rPr>
            </w:pPr>
            <w:r w:rsidRPr="00C81ED4">
              <w:rPr>
                <w:rFonts w:eastAsia="Times New Roman" w:cs="Times New Roman"/>
                <w:sz w:val="15"/>
                <w:szCs w:val="15"/>
                <w:lang w:eastAsia="cs-CZ"/>
              </w:rPr>
              <w:t xml:space="preserve">Dle % zapojení do činnosti právního sub-týmu vyplývajícího </w:t>
            </w:r>
            <w:proofErr w:type="gramStart"/>
            <w:r w:rsidRPr="00C81ED4">
              <w:rPr>
                <w:rFonts w:eastAsia="Times New Roman" w:cs="Times New Roman"/>
                <w:sz w:val="15"/>
                <w:szCs w:val="15"/>
                <w:lang w:eastAsia="cs-CZ"/>
              </w:rPr>
              <w:t>z</w:t>
            </w:r>
            <w:proofErr w:type="gramEnd"/>
            <w:r>
              <w:rPr>
                <w:rFonts w:eastAsia="Times New Roman" w:cs="Times New Roman"/>
                <w:sz w:val="15"/>
                <w:szCs w:val="15"/>
                <w:lang w:eastAsia="cs-CZ"/>
              </w:rPr>
              <w:t xml:space="preserve"> </w:t>
            </w:r>
            <w:r w:rsidRPr="00C81ED4">
              <w:rPr>
                <w:rFonts w:eastAsia="Times New Roman" w:cs="Times New Roman"/>
                <w:sz w:val="15"/>
                <w:szCs w:val="15"/>
                <w:lang w:eastAsia="cs-CZ"/>
              </w:rPr>
              <w:t xml:space="preserve">uchazečem vyplněné </w:t>
            </w:r>
            <w:r w:rsidRPr="00B726D9">
              <w:rPr>
                <w:rFonts w:eastAsia="Times New Roman" w:cs="Times New Roman"/>
                <w:sz w:val="15"/>
                <w:szCs w:val="15"/>
                <w:lang w:eastAsia="cs-CZ"/>
              </w:rPr>
              <w:t>Přílohy č. 2 Smlouvy</w:t>
            </w:r>
          </w:p>
        </w:tc>
      </w:tr>
      <w:tr w:rsidR="00C445A3" w:rsidRPr="00C0416E" w14:paraId="7121ECA2" w14:textId="72B37D62" w:rsidTr="00532157">
        <w:trPr>
          <w:trHeight w:val="2722"/>
        </w:trPr>
        <w:tc>
          <w:tcPr>
            <w:tcW w:w="992" w:type="dxa"/>
            <w:tcBorders>
              <w:top w:val="single" w:sz="4" w:space="0" w:color="auto"/>
              <w:left w:val="single" w:sz="4" w:space="0" w:color="auto"/>
              <w:bottom w:val="single" w:sz="4" w:space="0" w:color="auto"/>
              <w:right w:val="single" w:sz="4" w:space="0" w:color="auto"/>
            </w:tcBorders>
            <w:shd w:val="clear" w:color="auto" w:fill="auto"/>
          </w:tcPr>
          <w:p w14:paraId="43B6C4AF" w14:textId="67414C31" w:rsidR="00C445A3" w:rsidRPr="00C0416E" w:rsidRDefault="0016041E" w:rsidP="00646BC3">
            <w:pPr>
              <w:widowControl w:val="0"/>
              <w:tabs>
                <w:tab w:val="left" w:pos="7227"/>
              </w:tabs>
              <w:spacing w:line="288" w:lineRule="auto"/>
              <w:ind w:left="0" w:right="67"/>
              <w:rPr>
                <w:rFonts w:eastAsia="Times New Roman" w:cs="Times New Roman"/>
                <w:sz w:val="15"/>
                <w:szCs w:val="15"/>
                <w:lang w:eastAsia="cs-CZ"/>
              </w:rPr>
            </w:pPr>
            <w:r>
              <w:rPr>
                <w:rFonts w:eastAsia="Times New Roman" w:cs="Times New Roman"/>
                <w:sz w:val="15"/>
                <w:szCs w:val="15"/>
                <w:lang w:eastAsia="cs-CZ"/>
              </w:rPr>
              <w:lastRenderedPageBreak/>
              <w:t>5</w:t>
            </w:r>
            <w:r w:rsidR="00C445A3" w:rsidRPr="00C0416E">
              <w:rPr>
                <w:rFonts w:eastAsia="Times New Roman" w:cs="Times New Roman"/>
                <w:sz w:val="15"/>
                <w:szCs w:val="15"/>
                <w:lang w:eastAsia="cs-CZ"/>
              </w:rPr>
              <w:t xml:space="preserve">. </w:t>
            </w:r>
            <w:r w:rsidR="00C445A3" w:rsidRPr="00C0416E">
              <w:rPr>
                <w:rFonts w:eastAsia="Verdana" w:cs="Times New Roman"/>
                <w:sz w:val="15"/>
                <w:szCs w:val="15"/>
              </w:rPr>
              <w:t xml:space="preserve"> </w:t>
            </w:r>
            <w:r w:rsidR="00270612">
              <w:t xml:space="preserve"> </w:t>
            </w:r>
            <w:r w:rsidR="00270612" w:rsidRPr="00270612">
              <w:rPr>
                <w:rFonts w:eastAsia="Times New Roman" w:cs="Times New Roman"/>
                <w:b/>
                <w:bCs/>
                <w:sz w:val="15"/>
                <w:szCs w:val="15"/>
                <w:u w:val="single"/>
                <w:lang w:eastAsia="cs-CZ"/>
              </w:rPr>
              <w:t>Člen týmu T1 – T</w:t>
            </w:r>
            <w:r>
              <w:rPr>
                <w:rFonts w:eastAsia="Times New Roman" w:cs="Times New Roman"/>
                <w:b/>
                <w:bCs/>
                <w:sz w:val="15"/>
                <w:szCs w:val="15"/>
                <w:u w:val="single"/>
                <w:lang w:eastAsia="cs-CZ"/>
              </w:rPr>
              <w:t>2</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5A44BD5" w14:textId="0B7078AA" w:rsidR="00C445A3" w:rsidRPr="00C0416E" w:rsidRDefault="00BD3DE9" w:rsidP="00646BC3">
            <w:pPr>
              <w:widowControl w:val="0"/>
              <w:ind w:left="0"/>
              <w:jc w:val="both"/>
              <w:rPr>
                <w:rFonts w:eastAsia="Times New Roman" w:cs="Times New Roman"/>
                <w:sz w:val="15"/>
                <w:szCs w:val="15"/>
                <w:lang w:eastAsia="cs-CZ"/>
              </w:rPr>
            </w:pPr>
            <w:r w:rsidRPr="00BD3DE9">
              <w:rPr>
                <w:rFonts w:eastAsia="Times New Roman" w:cs="Times New Roman"/>
                <w:sz w:val="15"/>
                <w:szCs w:val="15"/>
                <w:lang w:eastAsia="cs-CZ"/>
              </w:rPr>
              <w:t xml:space="preserve">Účast na </w:t>
            </w:r>
            <w:r w:rsidR="00B34641">
              <w:rPr>
                <w:rFonts w:eastAsia="Times New Roman" w:cs="Times New Roman"/>
                <w:sz w:val="15"/>
                <w:szCs w:val="15"/>
                <w:lang w:eastAsia="cs-CZ"/>
              </w:rPr>
              <w:t>technickém</w:t>
            </w:r>
            <w:r w:rsidR="00B34641" w:rsidRPr="00BD3DE9">
              <w:rPr>
                <w:rFonts w:eastAsia="Times New Roman" w:cs="Times New Roman"/>
                <w:sz w:val="15"/>
                <w:szCs w:val="15"/>
                <w:lang w:eastAsia="cs-CZ"/>
              </w:rPr>
              <w:t xml:space="preserve"> </w:t>
            </w:r>
            <w:r w:rsidRPr="00BD3DE9">
              <w:rPr>
                <w:rFonts w:eastAsia="Times New Roman" w:cs="Times New Roman"/>
                <w:sz w:val="15"/>
                <w:szCs w:val="15"/>
                <w:lang w:eastAsia="cs-CZ"/>
              </w:rPr>
              <w:t>poradenství u PPP projektů liniové dopravní infrastruktury, které úspěšně dosáhly Finančního uzavření – počet projektů nad rámec kvalifikačního kritéria (bylo-li prokázáno projektem liniové dopravní infrastruktury realizovaným formou PPP).</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AFE178D" w14:textId="2EDA4650" w:rsidR="00C445A3" w:rsidRPr="00C0416E" w:rsidRDefault="00A00272" w:rsidP="00646BC3">
            <w:pPr>
              <w:widowControl w:val="0"/>
              <w:tabs>
                <w:tab w:val="left" w:pos="7227"/>
              </w:tabs>
              <w:spacing w:line="288" w:lineRule="auto"/>
              <w:ind w:left="0" w:right="67"/>
              <w:jc w:val="both"/>
              <w:rPr>
                <w:rFonts w:eastAsia="Times New Roman" w:cs="Times New Roman"/>
                <w:sz w:val="15"/>
                <w:szCs w:val="15"/>
                <w:lang w:eastAsia="cs-CZ"/>
              </w:rPr>
            </w:pPr>
            <w:r w:rsidRPr="00A00272">
              <w:rPr>
                <w:rFonts w:eastAsia="Times New Roman" w:cs="Times New Roman"/>
                <w:sz w:val="15"/>
                <w:szCs w:val="15"/>
                <w:lang w:eastAsia="cs-CZ"/>
              </w:rPr>
              <w:t>2 body za každou 1 zkušenost nad rámec kvalifikačního kritéria dle odst. 8.4. této zadávací dokumentace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DA48A7" w14:textId="31D3324D" w:rsidR="00C445A3" w:rsidRPr="00C0416E" w:rsidRDefault="00296A81" w:rsidP="00646BC3">
            <w:pPr>
              <w:widowControl w:val="0"/>
              <w:tabs>
                <w:tab w:val="left" w:pos="7227"/>
              </w:tabs>
              <w:spacing w:line="288" w:lineRule="auto"/>
              <w:ind w:left="0" w:right="67"/>
              <w:jc w:val="both"/>
              <w:rPr>
                <w:rFonts w:eastAsia="Times New Roman" w:cs="Times New Roman"/>
                <w:sz w:val="15"/>
                <w:szCs w:val="15"/>
                <w:lang w:eastAsia="cs-CZ"/>
              </w:rPr>
            </w:pPr>
            <w:r w:rsidRPr="00296A81">
              <w:rPr>
                <w:rFonts w:eastAsia="Times New Roman" w:cs="Times New Roman"/>
                <w:sz w:val="15"/>
                <w:szCs w:val="15"/>
                <w:lang w:eastAsia="cs-CZ"/>
              </w:rPr>
              <w:t>6 (tj. max. 3 zkušenosti u každého člena týmu)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DE14E8" w14:textId="5E2E19F9" w:rsidR="00C445A3" w:rsidRPr="00C0416E" w:rsidRDefault="00296A81" w:rsidP="00646BC3">
            <w:pPr>
              <w:widowControl w:val="0"/>
              <w:tabs>
                <w:tab w:val="left" w:pos="7227"/>
              </w:tabs>
              <w:spacing w:line="288" w:lineRule="auto"/>
              <w:ind w:left="0" w:right="67"/>
              <w:jc w:val="both"/>
              <w:rPr>
                <w:rFonts w:eastAsia="Times New Roman" w:cs="Times New Roman"/>
                <w:sz w:val="15"/>
                <w:szCs w:val="15"/>
                <w:lang w:eastAsia="cs-CZ"/>
              </w:rPr>
            </w:pPr>
            <w:r w:rsidRPr="00296A81">
              <w:rPr>
                <w:rFonts w:eastAsia="Times New Roman" w:cs="Times New Roman"/>
                <w:sz w:val="15"/>
                <w:szCs w:val="15"/>
                <w:lang w:eastAsia="cs-CZ"/>
              </w:rPr>
              <w:t xml:space="preserve">Dle % zapojení do činnosti technického sub-týmu vyplývajícího </w:t>
            </w:r>
            <w:proofErr w:type="gramStart"/>
            <w:r w:rsidRPr="00296A81">
              <w:rPr>
                <w:rFonts w:eastAsia="Times New Roman" w:cs="Times New Roman"/>
                <w:sz w:val="15"/>
                <w:szCs w:val="15"/>
                <w:lang w:eastAsia="cs-CZ"/>
              </w:rPr>
              <w:t>z</w:t>
            </w:r>
            <w:proofErr w:type="gramEnd"/>
            <w:r w:rsidRPr="00296A81">
              <w:rPr>
                <w:rFonts w:eastAsia="Times New Roman" w:cs="Times New Roman"/>
                <w:sz w:val="15"/>
                <w:szCs w:val="15"/>
                <w:lang w:eastAsia="cs-CZ"/>
              </w:rPr>
              <w:t xml:space="preserve"> uchazečem vyplněné </w:t>
            </w:r>
            <w:r w:rsidRPr="00B726D9">
              <w:rPr>
                <w:rFonts w:eastAsia="Times New Roman" w:cs="Times New Roman"/>
                <w:sz w:val="15"/>
                <w:szCs w:val="15"/>
                <w:lang w:eastAsia="cs-CZ"/>
              </w:rPr>
              <w:t>Přílohy č. 2 Smlouvy</w:t>
            </w:r>
          </w:p>
        </w:tc>
      </w:tr>
      <w:tr w:rsidR="0016041E" w:rsidRPr="00C0416E" w14:paraId="14504FC7" w14:textId="77777777" w:rsidTr="00532157">
        <w:trPr>
          <w:trHeight w:val="2722"/>
        </w:trPr>
        <w:tc>
          <w:tcPr>
            <w:tcW w:w="992" w:type="dxa"/>
            <w:tcBorders>
              <w:top w:val="single" w:sz="4" w:space="0" w:color="auto"/>
              <w:left w:val="single" w:sz="4" w:space="0" w:color="auto"/>
              <w:bottom w:val="single" w:sz="4" w:space="0" w:color="auto"/>
              <w:right w:val="single" w:sz="4" w:space="0" w:color="auto"/>
            </w:tcBorders>
            <w:shd w:val="clear" w:color="auto" w:fill="auto"/>
          </w:tcPr>
          <w:p w14:paraId="472A8F24" w14:textId="07AD4463" w:rsidR="0016041E" w:rsidRPr="00C0416E" w:rsidRDefault="0016041E" w:rsidP="0016041E">
            <w:pPr>
              <w:widowControl w:val="0"/>
              <w:tabs>
                <w:tab w:val="left" w:pos="7227"/>
              </w:tabs>
              <w:spacing w:line="288" w:lineRule="auto"/>
              <w:ind w:left="0" w:right="67"/>
              <w:rPr>
                <w:rFonts w:eastAsia="Times New Roman" w:cs="Times New Roman"/>
                <w:sz w:val="15"/>
                <w:szCs w:val="15"/>
                <w:lang w:eastAsia="cs-CZ"/>
              </w:rPr>
            </w:pPr>
            <w:r>
              <w:rPr>
                <w:rFonts w:eastAsia="Times New Roman" w:cs="Times New Roman"/>
                <w:sz w:val="15"/>
                <w:szCs w:val="15"/>
                <w:lang w:eastAsia="cs-CZ"/>
              </w:rPr>
              <w:t>6</w:t>
            </w:r>
            <w:r w:rsidRPr="0016041E">
              <w:rPr>
                <w:rFonts w:eastAsia="Times New Roman" w:cs="Times New Roman"/>
                <w:sz w:val="15"/>
                <w:szCs w:val="15"/>
                <w:lang w:eastAsia="cs-CZ"/>
              </w:rPr>
              <w:t xml:space="preserve">.   </w:t>
            </w:r>
            <w:r w:rsidRPr="00B05832">
              <w:rPr>
                <w:rFonts w:eastAsia="Times New Roman" w:cs="Times New Roman"/>
                <w:b/>
                <w:bCs/>
                <w:sz w:val="15"/>
                <w:szCs w:val="15"/>
                <w:lang w:eastAsia="cs-CZ"/>
              </w:rPr>
              <w:t>Člen týmu T</w:t>
            </w:r>
            <w:r>
              <w:rPr>
                <w:rFonts w:eastAsia="Times New Roman" w:cs="Times New Roman"/>
                <w:b/>
                <w:bCs/>
                <w:sz w:val="15"/>
                <w:szCs w:val="15"/>
                <w:lang w:eastAsia="cs-CZ"/>
              </w:rPr>
              <w:t>3</w:t>
            </w:r>
            <w:r w:rsidRPr="00B05832">
              <w:rPr>
                <w:rFonts w:eastAsia="Times New Roman" w:cs="Times New Roman"/>
                <w:b/>
                <w:bCs/>
                <w:sz w:val="15"/>
                <w:szCs w:val="15"/>
                <w:lang w:eastAsia="cs-CZ"/>
              </w:rPr>
              <w:t xml:space="preserve"> – T4</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46C23A16" w14:textId="74D1C1DC" w:rsidR="0016041E" w:rsidRPr="00BD3DE9" w:rsidRDefault="0016041E" w:rsidP="0016041E">
            <w:pPr>
              <w:widowControl w:val="0"/>
              <w:ind w:left="0"/>
              <w:jc w:val="both"/>
              <w:rPr>
                <w:rFonts w:eastAsia="Times New Roman" w:cs="Times New Roman"/>
                <w:sz w:val="15"/>
                <w:szCs w:val="15"/>
                <w:lang w:eastAsia="cs-CZ"/>
              </w:rPr>
            </w:pPr>
            <w:r w:rsidRPr="00FB11FE">
              <w:rPr>
                <w:rFonts w:eastAsia="Times New Roman" w:cs="Times New Roman"/>
                <w:sz w:val="15"/>
                <w:szCs w:val="15"/>
                <w:lang w:eastAsia="cs-CZ"/>
              </w:rPr>
              <w:t xml:space="preserve">Účast na </w:t>
            </w:r>
            <w:r w:rsidR="00650CF8">
              <w:rPr>
                <w:rFonts w:eastAsia="Times New Roman" w:cs="Times New Roman"/>
                <w:sz w:val="15"/>
                <w:szCs w:val="15"/>
                <w:lang w:eastAsia="cs-CZ"/>
              </w:rPr>
              <w:t>technickém</w:t>
            </w:r>
            <w:r w:rsidR="00650CF8" w:rsidRPr="00FB11FE">
              <w:rPr>
                <w:rFonts w:eastAsia="Times New Roman" w:cs="Times New Roman"/>
                <w:sz w:val="15"/>
                <w:szCs w:val="15"/>
                <w:lang w:eastAsia="cs-CZ"/>
              </w:rPr>
              <w:t xml:space="preserve"> </w:t>
            </w:r>
            <w:r w:rsidRPr="00FB11FE">
              <w:rPr>
                <w:rFonts w:eastAsia="Times New Roman" w:cs="Times New Roman"/>
                <w:sz w:val="15"/>
                <w:szCs w:val="15"/>
                <w:lang w:eastAsia="cs-CZ"/>
              </w:rPr>
              <w:t xml:space="preserve">poradenství u PPP projektů liniové dopravní infrastruktury, </w:t>
            </w:r>
            <w:r w:rsidRPr="009A5E7B">
              <w:rPr>
                <w:rFonts w:eastAsia="Times New Roman" w:cs="Times New Roman"/>
                <w:sz w:val="15"/>
                <w:szCs w:val="15"/>
                <w:lang w:eastAsia="cs-CZ"/>
              </w:rPr>
              <w:t>přičemž je dostačující, pokud poradenství bylo poskytováno v rámci projektu, který měl/má být formou PPP realizován, tj. poradenství bylo poskytováno v rámci ověřování či přípravy takového projektu, aniž by bylo rozhodné, zda tento projekt dosáhl Smluvního či Finančního uzavření, tj. zda projekt byl nebo nebyl realizován, přičemž požadováno je, aby se jednalo o poradenství, na základě jehož výsledku bylo rozhodnuto alespoň o zahájení realizace zadávacího řízení na soukromého partnera či o poradenství v rámci samotného zadávacího řízení na soukromého partnera</w:t>
            </w:r>
            <w:r>
              <w:rPr>
                <w:rFonts w:eastAsia="Times New Roman" w:cs="Times New Roman"/>
                <w:sz w:val="15"/>
                <w:szCs w:val="15"/>
                <w:lang w:eastAsia="cs-CZ"/>
              </w:rPr>
              <w:t xml:space="preserve"> </w:t>
            </w:r>
            <w:r w:rsidRPr="00FB11FE">
              <w:rPr>
                <w:rFonts w:eastAsia="Times New Roman" w:cs="Times New Roman"/>
                <w:sz w:val="15"/>
                <w:szCs w:val="15"/>
                <w:lang w:eastAsia="cs-CZ"/>
              </w:rPr>
              <w:t>– počet projektů nad rámec kvalifikačního kritéria (bylo-li prokázáno projektem liniové dopravní infrastruktury realizovaným formou PPP).</w:t>
            </w:r>
            <w:r>
              <w:rPr>
                <w:rStyle w:val="Znakapoznpodarou"/>
                <w:rFonts w:eastAsia="Times New Roman" w:cs="Times New Roman"/>
                <w:sz w:val="15"/>
                <w:szCs w:val="15"/>
                <w:lang w:eastAsia="cs-CZ"/>
              </w:rPr>
              <w:footnoteReference w:id="5"/>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3B27F3" w14:textId="55675862" w:rsidR="0016041E" w:rsidRPr="00A00272" w:rsidRDefault="0016041E" w:rsidP="0016041E">
            <w:pPr>
              <w:widowControl w:val="0"/>
              <w:tabs>
                <w:tab w:val="left" w:pos="7227"/>
              </w:tabs>
              <w:spacing w:line="288" w:lineRule="auto"/>
              <w:ind w:left="0" w:right="67"/>
              <w:jc w:val="both"/>
              <w:rPr>
                <w:rFonts w:eastAsia="Times New Roman" w:cs="Times New Roman"/>
                <w:sz w:val="15"/>
                <w:szCs w:val="15"/>
                <w:lang w:eastAsia="cs-CZ"/>
              </w:rPr>
            </w:pPr>
            <w:r w:rsidRPr="00246E8D">
              <w:rPr>
                <w:rFonts w:eastAsia="Times New Roman" w:cs="Times New Roman"/>
                <w:sz w:val="15"/>
                <w:szCs w:val="15"/>
                <w:lang w:eastAsia="cs-CZ"/>
              </w:rPr>
              <w:t xml:space="preserve">2 body za každou 1 zkušenost nad rámec kvalifikačního kritéria dle odst. </w:t>
            </w:r>
            <w:r>
              <w:rPr>
                <w:rFonts w:eastAsia="Times New Roman" w:cs="Times New Roman"/>
                <w:sz w:val="15"/>
                <w:szCs w:val="15"/>
                <w:lang w:eastAsia="cs-CZ"/>
              </w:rPr>
              <w:t>8</w:t>
            </w:r>
            <w:r w:rsidRPr="00246E8D">
              <w:rPr>
                <w:rFonts w:eastAsia="Times New Roman" w:cs="Times New Roman"/>
                <w:sz w:val="15"/>
                <w:szCs w:val="15"/>
                <w:lang w:eastAsia="cs-CZ"/>
              </w:rPr>
              <w:t xml:space="preserve">.4. </w:t>
            </w:r>
            <w:r>
              <w:rPr>
                <w:rFonts w:eastAsia="Times New Roman" w:cs="Times New Roman"/>
                <w:sz w:val="15"/>
                <w:szCs w:val="15"/>
                <w:lang w:eastAsia="cs-CZ"/>
              </w:rPr>
              <w:t xml:space="preserve">této </w:t>
            </w:r>
            <w:r w:rsidRPr="00246E8D">
              <w:rPr>
                <w:rFonts w:eastAsia="Times New Roman" w:cs="Times New Roman"/>
                <w:sz w:val="15"/>
                <w:szCs w:val="15"/>
                <w:lang w:eastAsia="cs-CZ"/>
              </w:rPr>
              <w:t>zadávací dokumentace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785379" w14:textId="78B69C43" w:rsidR="0016041E" w:rsidRPr="00296A81" w:rsidRDefault="0016041E" w:rsidP="0016041E">
            <w:pPr>
              <w:widowControl w:val="0"/>
              <w:tabs>
                <w:tab w:val="left" w:pos="7227"/>
              </w:tabs>
              <w:spacing w:line="288" w:lineRule="auto"/>
              <w:ind w:left="0" w:right="67"/>
              <w:jc w:val="both"/>
              <w:rPr>
                <w:rFonts w:eastAsia="Times New Roman" w:cs="Times New Roman"/>
                <w:sz w:val="15"/>
                <w:szCs w:val="15"/>
                <w:lang w:eastAsia="cs-CZ"/>
              </w:rPr>
            </w:pPr>
            <w:r w:rsidRPr="00433116">
              <w:rPr>
                <w:rFonts w:eastAsia="Times New Roman" w:cs="Times New Roman"/>
                <w:sz w:val="15"/>
                <w:szCs w:val="15"/>
                <w:lang w:eastAsia="cs-CZ"/>
              </w:rPr>
              <w:t>6</w:t>
            </w:r>
            <w:r>
              <w:rPr>
                <w:rFonts w:eastAsia="Times New Roman" w:cs="Times New Roman"/>
                <w:sz w:val="15"/>
                <w:szCs w:val="15"/>
                <w:lang w:eastAsia="cs-CZ"/>
              </w:rPr>
              <w:t xml:space="preserve"> bodů</w:t>
            </w:r>
            <w:r w:rsidRPr="00433116">
              <w:rPr>
                <w:rFonts w:eastAsia="Times New Roman" w:cs="Times New Roman"/>
                <w:sz w:val="15"/>
                <w:szCs w:val="15"/>
                <w:lang w:eastAsia="cs-CZ"/>
              </w:rPr>
              <w:t xml:space="preserve"> (tj. max. 3 zkušenosti u každého</w:t>
            </w:r>
            <w:r>
              <w:rPr>
                <w:rFonts w:eastAsia="Times New Roman" w:cs="Times New Roman"/>
                <w:sz w:val="15"/>
                <w:szCs w:val="15"/>
                <w:lang w:eastAsia="cs-CZ"/>
              </w:rPr>
              <w:t xml:space="preserve"> </w:t>
            </w:r>
            <w:r w:rsidRPr="00433116">
              <w:rPr>
                <w:rFonts w:eastAsia="Times New Roman" w:cs="Times New Roman"/>
                <w:sz w:val="15"/>
                <w:szCs w:val="15"/>
                <w:lang w:eastAsia="cs-CZ"/>
              </w:rPr>
              <w:t>člena týmu)</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26F34A" w14:textId="1095AF6D" w:rsidR="0016041E" w:rsidRPr="00296A81" w:rsidRDefault="0016041E" w:rsidP="0016041E">
            <w:pPr>
              <w:widowControl w:val="0"/>
              <w:tabs>
                <w:tab w:val="left" w:pos="7227"/>
              </w:tabs>
              <w:spacing w:line="288" w:lineRule="auto"/>
              <w:ind w:left="0" w:right="67"/>
              <w:jc w:val="both"/>
              <w:rPr>
                <w:rFonts w:eastAsia="Times New Roman" w:cs="Times New Roman"/>
                <w:sz w:val="15"/>
                <w:szCs w:val="15"/>
                <w:lang w:eastAsia="cs-CZ"/>
              </w:rPr>
            </w:pPr>
            <w:r w:rsidRPr="00C81ED4">
              <w:rPr>
                <w:rFonts w:eastAsia="Times New Roman" w:cs="Times New Roman"/>
                <w:sz w:val="15"/>
                <w:szCs w:val="15"/>
                <w:lang w:eastAsia="cs-CZ"/>
              </w:rPr>
              <w:t xml:space="preserve">Dle % zapojení do činnosti právního sub-týmu vyplývajícího </w:t>
            </w:r>
            <w:proofErr w:type="gramStart"/>
            <w:r w:rsidRPr="00C81ED4">
              <w:rPr>
                <w:rFonts w:eastAsia="Times New Roman" w:cs="Times New Roman"/>
                <w:sz w:val="15"/>
                <w:szCs w:val="15"/>
                <w:lang w:eastAsia="cs-CZ"/>
              </w:rPr>
              <w:t>z</w:t>
            </w:r>
            <w:proofErr w:type="gramEnd"/>
            <w:r>
              <w:rPr>
                <w:rFonts w:eastAsia="Times New Roman" w:cs="Times New Roman"/>
                <w:sz w:val="15"/>
                <w:szCs w:val="15"/>
                <w:lang w:eastAsia="cs-CZ"/>
              </w:rPr>
              <w:t xml:space="preserve"> </w:t>
            </w:r>
            <w:r w:rsidRPr="00C81ED4">
              <w:rPr>
                <w:rFonts w:eastAsia="Times New Roman" w:cs="Times New Roman"/>
                <w:sz w:val="15"/>
                <w:szCs w:val="15"/>
                <w:lang w:eastAsia="cs-CZ"/>
              </w:rPr>
              <w:t xml:space="preserve">uchazečem vyplněné </w:t>
            </w:r>
            <w:r w:rsidRPr="00B726D9">
              <w:rPr>
                <w:rFonts w:eastAsia="Times New Roman" w:cs="Times New Roman"/>
                <w:sz w:val="15"/>
                <w:szCs w:val="15"/>
                <w:lang w:eastAsia="cs-CZ"/>
              </w:rPr>
              <w:t>Přílohy č. 2 Smlouvy</w:t>
            </w:r>
          </w:p>
        </w:tc>
      </w:tr>
    </w:tbl>
    <w:p w14:paraId="7243A5DF" w14:textId="77777777" w:rsidR="00C93D25" w:rsidRPr="00C93D25" w:rsidRDefault="00C93D25" w:rsidP="00C93D25">
      <w:pPr>
        <w:spacing w:before="0" w:after="0" w:line="264" w:lineRule="auto"/>
        <w:jc w:val="both"/>
        <w:rPr>
          <w:rFonts w:eastAsia="Verdana" w:cs="Times New Roman"/>
          <w:szCs w:val="18"/>
        </w:rPr>
      </w:pPr>
    </w:p>
    <w:p w14:paraId="125F34C2" w14:textId="77777777" w:rsidR="0025509F" w:rsidRDefault="0025509F" w:rsidP="0025509F">
      <w:pPr>
        <w:spacing w:line="288" w:lineRule="auto"/>
        <w:ind w:left="1276"/>
        <w:jc w:val="both"/>
        <w:rPr>
          <w:rFonts w:eastAsia="Calibri" w:cs="Times New Roman"/>
          <w:szCs w:val="18"/>
        </w:rPr>
      </w:pPr>
      <w:r w:rsidRPr="00694323">
        <w:rPr>
          <w:rFonts w:eastAsia="Calibri" w:cs="Times New Roman"/>
          <w:szCs w:val="18"/>
        </w:rPr>
        <w:t xml:space="preserve">** Dodavatel je </w:t>
      </w:r>
      <w:r>
        <w:rPr>
          <w:rFonts w:eastAsia="Calibri" w:cs="Times New Roman"/>
          <w:szCs w:val="18"/>
        </w:rPr>
        <w:t xml:space="preserve">dle této zadávací dokumentace </w:t>
      </w:r>
      <w:r w:rsidRPr="00694323">
        <w:rPr>
          <w:rFonts w:eastAsia="Calibri" w:cs="Times New Roman"/>
          <w:szCs w:val="18"/>
        </w:rPr>
        <w:t xml:space="preserve">povinen vyplnit do </w:t>
      </w:r>
      <w:r w:rsidRPr="00B726D9">
        <w:rPr>
          <w:rFonts w:eastAsia="Calibri" w:cs="Times New Roman"/>
          <w:szCs w:val="18"/>
        </w:rPr>
        <w:t>přílohy č. 7</w:t>
      </w:r>
      <w:r>
        <w:rPr>
          <w:rFonts w:eastAsia="Calibri" w:cs="Times New Roman"/>
          <w:szCs w:val="18"/>
        </w:rPr>
        <w:t xml:space="preserve"> této zadávací dokumentace, která tvoří přílohu č. 2 </w:t>
      </w:r>
      <w:r w:rsidRPr="00694323">
        <w:rPr>
          <w:rFonts w:eastAsia="Calibri" w:cs="Times New Roman"/>
          <w:szCs w:val="18"/>
        </w:rPr>
        <w:t>Smlouvy</w:t>
      </w:r>
      <w:r>
        <w:rPr>
          <w:rFonts w:eastAsia="Calibri" w:cs="Times New Roman"/>
          <w:szCs w:val="18"/>
        </w:rPr>
        <w:t xml:space="preserve"> </w:t>
      </w:r>
      <w:r w:rsidRPr="00694323">
        <w:rPr>
          <w:rFonts w:eastAsia="Calibri" w:cs="Times New Roman"/>
          <w:szCs w:val="18"/>
        </w:rPr>
        <w:t xml:space="preserve">podrobný rozklad nabídkové ceny mezi jednotlivé milníky a experty a to tak, že u každého experta uvede sazbu za člověkoden v Kč bez DPH a uvede předpokládaný rozsah zapojení tohoto experta do činnosti realizačního týmu v člověkodnech. Zadavatel za účelem </w:t>
      </w:r>
      <w:r w:rsidRPr="00694323">
        <w:rPr>
          <w:rFonts w:eastAsia="Calibri" w:cs="Times New Roman"/>
          <w:szCs w:val="18"/>
        </w:rPr>
        <w:lastRenderedPageBreak/>
        <w:t>vyhodnocení hodnotícího kritéria přepočte toto časové zapojení na procenta (samostatně v rámci jednotlivých sub-týmů – právní; finančně-ekonomický; technický sub-tým) a tato procenta zapojení následně využije jako % váhu experta v níže uvedeném výpočtovém vzorci hodnotícího kritéria.</w:t>
      </w:r>
    </w:p>
    <w:p w14:paraId="6977B03E" w14:textId="77777777" w:rsidR="0025509F" w:rsidRDefault="0025509F" w:rsidP="0025509F">
      <w:pPr>
        <w:spacing w:line="288" w:lineRule="auto"/>
        <w:ind w:left="1276"/>
        <w:jc w:val="both"/>
        <w:rPr>
          <w:rFonts w:eastAsia="Calibri" w:cs="Times New Roman"/>
          <w:szCs w:val="18"/>
        </w:rPr>
      </w:pPr>
      <w:r>
        <w:rPr>
          <w:rFonts w:eastAsia="Calibri" w:cs="Times New Roman"/>
          <w:szCs w:val="18"/>
        </w:rPr>
        <w:t>Počet bodů za dílčího člena realizačního týmu bude stanoven na základě následujícího výpočtu:</w:t>
      </w:r>
    </w:p>
    <w:p w14:paraId="2FB13C73" w14:textId="77777777" w:rsidR="0025509F" w:rsidRPr="002B6A16" w:rsidRDefault="0025509F" w:rsidP="0025509F">
      <w:pPr>
        <w:spacing w:before="0" w:line="288" w:lineRule="auto"/>
        <w:ind w:left="1276"/>
        <w:jc w:val="both"/>
        <w:rPr>
          <w:rFonts w:eastAsia="Calibri" w:cs="Times New Roman"/>
          <w:color w:val="000000"/>
          <w:sz w:val="21"/>
          <w:szCs w:val="21"/>
        </w:rPr>
      </w:pPr>
      <m:oMathPara>
        <m:oMath>
          <m:r>
            <w:rPr>
              <w:rFonts w:ascii="Cambria Math" w:eastAsia="Calibri" w:hAnsi="Cambria Math" w:cs="Times New Roman"/>
              <w:color w:val="000000"/>
              <w:sz w:val="21"/>
              <w:szCs w:val="21"/>
            </w:rPr>
            <m:t>Body za zkušenosti členů týmu =</m:t>
          </m:r>
        </m:oMath>
      </m:oMathPara>
    </w:p>
    <w:p w14:paraId="3D68E045" w14:textId="77777777" w:rsidR="0025509F" w:rsidRPr="00872526" w:rsidRDefault="00065E88" w:rsidP="0025509F">
      <w:pPr>
        <w:spacing w:line="288" w:lineRule="auto"/>
        <w:ind w:left="1276"/>
        <w:jc w:val="both"/>
        <w:rPr>
          <w:rFonts w:eastAsia="Calibri" w:cs="Times New Roman"/>
          <w:sz w:val="21"/>
          <w:szCs w:val="21"/>
        </w:rPr>
      </w:pPr>
      <m:oMathPara>
        <m:oMath>
          <m:nary>
            <m:naryPr>
              <m:chr m:val="∑"/>
              <m:ctrlPr>
                <w:rPr>
                  <w:rFonts w:ascii="Cambria Math" w:eastAsia="Cambria Math" w:hAnsi="Cambria Math" w:cs="Times New Roman"/>
                  <w:i/>
                  <w:iCs/>
                  <w:color w:val="000000"/>
                  <w:sz w:val="21"/>
                  <w:szCs w:val="21"/>
                </w:rPr>
              </m:ctrlPr>
            </m:naryPr>
            <m:sub>
              <m:r>
                <w:rPr>
                  <w:rFonts w:ascii="Cambria Math" w:eastAsia="Cambria Math" w:hAnsi="Cambria Math" w:cs="Times New Roman"/>
                  <w:color w:val="000000"/>
                  <w:sz w:val="21"/>
                  <w:szCs w:val="21"/>
                </w:rPr>
                <m:t>i=1</m:t>
              </m:r>
            </m:sub>
            <m:sup>
              <m:r>
                <w:rPr>
                  <w:rFonts w:ascii="Cambria Math" w:eastAsia="Cambria Math" w:hAnsi="Cambria Math" w:cs="Times New Roman"/>
                  <w:color w:val="000000"/>
                  <w:sz w:val="21"/>
                  <w:szCs w:val="21"/>
                </w:rPr>
                <m:t>12</m:t>
              </m:r>
            </m:sup>
            <m:e>
              <m:d>
                <m:dPr>
                  <m:ctrlPr>
                    <w:rPr>
                      <w:rFonts w:ascii="Cambria Math" w:eastAsia="Cambria Math" w:hAnsi="Cambria Math" w:cs="Times New Roman"/>
                      <w:i/>
                      <w:iCs/>
                      <w:color w:val="000000"/>
                      <w:sz w:val="21"/>
                      <w:szCs w:val="21"/>
                    </w:rPr>
                  </m:ctrlPr>
                </m:dPr>
                <m:e>
                  <m:r>
                    <w:rPr>
                      <w:rFonts w:ascii="Cambria Math" w:eastAsia="Cambria Math" w:hAnsi="Cambria Math" w:cs="Times New Roman"/>
                      <w:color w:val="000000"/>
                      <w:sz w:val="21"/>
                      <w:szCs w:val="21"/>
                    </w:rPr>
                    <m:t>počet bodů za člena týmu</m:t>
                  </m:r>
                </m:e>
              </m:d>
              <m:r>
                <w:rPr>
                  <w:rFonts w:ascii="Cambria Math" w:eastAsia="Cambria Math" w:hAnsi="Cambria Math" w:cs="Times New Roman"/>
                  <w:color w:val="000000"/>
                  <w:sz w:val="21"/>
                  <w:szCs w:val="21"/>
                </w:rPr>
                <m:t>×</m:t>
              </m:r>
              <m:d>
                <m:dPr>
                  <m:ctrlPr>
                    <w:rPr>
                      <w:rFonts w:ascii="Cambria Math" w:eastAsia="Cambria Math" w:hAnsi="Cambria Math" w:cs="Times New Roman"/>
                      <w:i/>
                      <w:iCs/>
                      <w:color w:val="000000"/>
                      <w:sz w:val="21"/>
                      <w:szCs w:val="21"/>
                    </w:rPr>
                  </m:ctrlPr>
                </m:dPr>
                <m:e>
                  <m:r>
                    <w:rPr>
                      <w:rFonts w:ascii="Cambria Math" w:eastAsia="Cambria Math" w:hAnsi="Cambria Math" w:cs="Times New Roman"/>
                      <w:color w:val="000000"/>
                      <w:sz w:val="21"/>
                      <w:szCs w:val="21"/>
                    </w:rPr>
                    <m:t>% váha zapojení čena týmu</m:t>
                  </m:r>
                </m:e>
              </m:d>
            </m:e>
          </m:nary>
        </m:oMath>
      </m:oMathPara>
    </w:p>
    <w:p w14:paraId="283F46C9" w14:textId="1735B80A" w:rsidR="00C93D25" w:rsidRPr="00C93D25" w:rsidRDefault="00C93D25" w:rsidP="00646BC3">
      <w:pPr>
        <w:spacing w:line="288" w:lineRule="auto"/>
        <w:ind w:left="1276"/>
        <w:jc w:val="both"/>
        <w:rPr>
          <w:rFonts w:eastAsia="Calibri" w:cs="Times New Roman"/>
          <w:szCs w:val="18"/>
        </w:rPr>
      </w:pPr>
      <w:r w:rsidRPr="00C93D25">
        <w:rPr>
          <w:rFonts w:eastAsia="Calibri" w:cs="Times New Roman"/>
          <w:szCs w:val="18"/>
        </w:rPr>
        <w:t xml:space="preserve">Zkušeností ve smyslu tabulky dle tohoto článku </w:t>
      </w:r>
      <w:r w:rsidR="00620D14">
        <w:rPr>
          <w:rFonts w:eastAsia="Calibri" w:cs="Times New Roman"/>
          <w:szCs w:val="18"/>
        </w:rPr>
        <w:t>11</w:t>
      </w:r>
      <w:r w:rsidRPr="00C93D25">
        <w:rPr>
          <w:rFonts w:eastAsia="Calibri" w:cs="Times New Roman"/>
          <w:szCs w:val="18"/>
        </w:rPr>
        <w:t>.1.</w:t>
      </w:r>
      <w:r w:rsidR="00620D14">
        <w:rPr>
          <w:rFonts w:eastAsia="Calibri" w:cs="Times New Roman"/>
          <w:szCs w:val="18"/>
        </w:rPr>
        <w:t xml:space="preserve"> zadávací dokumentace</w:t>
      </w:r>
      <w:r w:rsidRPr="00C93D25">
        <w:rPr>
          <w:rFonts w:eastAsia="Calibri" w:cs="Times New Roman"/>
          <w:szCs w:val="18"/>
        </w:rPr>
        <w:t xml:space="preserve"> se rozumí jeden obchodní případ (tj. jeden smluvní vztah s jedním objednatelem).</w:t>
      </w:r>
    </w:p>
    <w:p w14:paraId="640A2232" w14:textId="2CF0667C" w:rsidR="00C93D25" w:rsidRPr="00592BBF" w:rsidRDefault="00C93D25" w:rsidP="00646BC3">
      <w:pPr>
        <w:spacing w:line="288" w:lineRule="auto"/>
        <w:ind w:left="1276"/>
        <w:jc w:val="both"/>
        <w:rPr>
          <w:rFonts w:eastAsia="Calibri" w:cs="Times New Roman"/>
          <w:szCs w:val="18"/>
        </w:rPr>
      </w:pPr>
      <w:r w:rsidRPr="00C93D25">
        <w:rPr>
          <w:rFonts w:eastAsia="Calibri" w:cs="Times New Roman"/>
          <w:szCs w:val="18"/>
        </w:rPr>
        <w:t xml:space="preserve">U všech osob a hodnocených služeb uvedených v bezprostředně předcházející tabulce budou v životopisech, které tvoří </w:t>
      </w:r>
      <w:r w:rsidRPr="00B726D9">
        <w:rPr>
          <w:rFonts w:eastAsia="Calibri" w:cs="Times New Roman"/>
          <w:szCs w:val="18"/>
        </w:rPr>
        <w:t>přílohu č. 5</w:t>
      </w:r>
      <w:r w:rsidRPr="00C93D25">
        <w:rPr>
          <w:rFonts w:eastAsia="Calibri" w:cs="Times New Roman"/>
          <w:szCs w:val="18"/>
        </w:rPr>
        <w:t xml:space="preserve"> této </w:t>
      </w:r>
      <w:r w:rsidR="00592BBF">
        <w:rPr>
          <w:rFonts w:eastAsia="Calibri" w:cs="Times New Roman"/>
          <w:szCs w:val="18"/>
        </w:rPr>
        <w:t xml:space="preserve">zadávací dokumentace, </w:t>
      </w:r>
      <w:r w:rsidRPr="00C93D25">
        <w:rPr>
          <w:rFonts w:eastAsia="Calibri" w:cs="Times New Roman"/>
          <w:szCs w:val="18"/>
        </w:rPr>
        <w:t>doplněny veškeré údaje nezbytné pro posouzení, zda zkušenosti uvedené pro účely hodnocení splňují kritéria pro udělení bodů v rámci hodnocení nabídek.</w:t>
      </w:r>
    </w:p>
    <w:p w14:paraId="73CED092" w14:textId="6CA6A7B8" w:rsidR="00C93D25" w:rsidRPr="00C93D25" w:rsidRDefault="00C93D25" w:rsidP="00646BC3">
      <w:pPr>
        <w:spacing w:before="0" w:after="0"/>
        <w:ind w:left="1276"/>
        <w:jc w:val="both"/>
        <w:rPr>
          <w:rFonts w:eastAsia="Calibri" w:cs="Times New Roman"/>
          <w:szCs w:val="18"/>
        </w:rPr>
      </w:pPr>
      <w:r w:rsidRPr="00C93D25">
        <w:rPr>
          <w:rFonts w:eastAsia="Calibri" w:cs="Times New Roman"/>
          <w:szCs w:val="18"/>
        </w:rPr>
        <w:t xml:space="preserve">Pro vyloučení pochybností zadavatel uvádí, že mezi zkušenostmi členů realizačního týmu uvedenými dodavatelem pro účely naplnění bodovaných kritérií dle tohoto článku </w:t>
      </w:r>
      <w:r w:rsidR="00592BBF" w:rsidRPr="00592BBF">
        <w:rPr>
          <w:rFonts w:eastAsia="Calibri" w:cs="Times New Roman"/>
          <w:szCs w:val="18"/>
        </w:rPr>
        <w:t xml:space="preserve">11.1. zadávací dokumentace </w:t>
      </w:r>
      <w:r w:rsidRPr="00C93D25">
        <w:rPr>
          <w:rFonts w:eastAsia="Calibri" w:cs="Times New Roman"/>
          <w:szCs w:val="18"/>
        </w:rPr>
        <w:t>a mezi praxí členů realizačního týmu, kterou dodavatel uvedl ve smyslu článku 8.4</w:t>
      </w:r>
      <w:r w:rsidR="00F42239">
        <w:rPr>
          <w:rFonts w:eastAsia="Calibri" w:cs="Times New Roman"/>
          <w:szCs w:val="18"/>
        </w:rPr>
        <w:t>.</w:t>
      </w:r>
      <w:r w:rsidRPr="00C93D25">
        <w:rPr>
          <w:rFonts w:eastAsia="Calibri" w:cs="Times New Roman"/>
          <w:szCs w:val="18"/>
        </w:rPr>
        <w:t xml:space="preserve"> </w:t>
      </w:r>
      <w:r w:rsidR="00F42239" w:rsidRPr="00F42239">
        <w:rPr>
          <w:rFonts w:eastAsia="Calibri" w:cs="Times New Roman"/>
          <w:szCs w:val="18"/>
        </w:rPr>
        <w:t xml:space="preserve">zadávací dokumentace </w:t>
      </w:r>
      <w:r w:rsidRPr="00C93D25">
        <w:rPr>
          <w:rFonts w:eastAsia="Calibri" w:cs="Times New Roman"/>
          <w:szCs w:val="18"/>
        </w:rPr>
        <w:t xml:space="preserve">pro účely splnění podmínek technické kvalifikace, </w:t>
      </w:r>
      <w:r w:rsidRPr="00B726D9">
        <w:rPr>
          <w:rFonts w:eastAsia="Calibri" w:cs="Times New Roman"/>
          <w:szCs w:val="18"/>
        </w:rPr>
        <w:t>může dojít k časovému překrytí.</w:t>
      </w:r>
    </w:p>
    <w:p w14:paraId="60246D45" w14:textId="77777777" w:rsidR="00C93D25" w:rsidRPr="00C93D25" w:rsidRDefault="00C93D25" w:rsidP="00646BC3">
      <w:pPr>
        <w:spacing w:line="288" w:lineRule="auto"/>
        <w:ind w:left="1276"/>
        <w:jc w:val="both"/>
        <w:rPr>
          <w:rFonts w:eastAsia="Calibri" w:cs="Times New Roman"/>
          <w:szCs w:val="16"/>
          <w:u w:val="single"/>
        </w:rPr>
      </w:pPr>
      <w:r w:rsidRPr="00C93D25">
        <w:rPr>
          <w:rFonts w:eastAsia="Calibri" w:cs="Times New Roman"/>
          <w:szCs w:val="16"/>
          <w:u w:val="single"/>
        </w:rPr>
        <w:t>Pravidlo pro posuzování nadměrného počtu uplatněných referenčních zkušeností:</w:t>
      </w:r>
    </w:p>
    <w:p w14:paraId="7080D032" w14:textId="4DCF6F95" w:rsidR="00C93D25" w:rsidRPr="00C93D25" w:rsidRDefault="00C93D25" w:rsidP="00646BC3">
      <w:pPr>
        <w:spacing w:line="288" w:lineRule="auto"/>
        <w:ind w:left="1276"/>
        <w:jc w:val="both"/>
        <w:rPr>
          <w:rFonts w:eastAsia="Calibri" w:cs="Times New Roman"/>
          <w:szCs w:val="16"/>
        </w:rPr>
      </w:pPr>
      <w:r w:rsidRPr="00C93D25">
        <w:rPr>
          <w:rFonts w:eastAsia="Calibri" w:cs="Times New Roman"/>
          <w:szCs w:val="16"/>
        </w:rPr>
        <w:t>Jestliže dodavatel uvede (uplatní) pro účely hodnocení nabídek více zkušeností, než kolik je uvedeno jako maximální počet v tabulce výše, zadavatel bude hodnotit pouze maximální stanovený počet zkušeností (referenčních služeb), přičemž z uvedených zkušeností (referenčních služeb) posoudí pouze ty, které budou uvedeny (uplatněny) v nižším pořadí [pokud by tedy kupř. zadavatel stanovil, že uchazeč je oprávněn pro účely hodnocení nabídek uplatnit maximálně 5 zkušeností (a v případě způsobilosti všech těchto zkušeností pak získá maximální možný bodový zisk), uchazeč však uvedl (uplatnil) pro účely hodnocení nabídek celkem 7 zkušeností, pak zadavatel posoudí pouze prvních 5 uvedených (uplatněných) zkušeností (neboť mají nižší pořadí), přičemž šestou a sedmou zkušenost posuzovat nebude; tento postup platí i pro případ, že by některá z prvních 5 uvedených (uplatněných) zkušeností (či všechny) byla – z pohledu splnění podmínek pro hodnocení nabídek – nezpůsobilá.].</w:t>
      </w:r>
    </w:p>
    <w:p w14:paraId="18C01018" w14:textId="77777777" w:rsidR="00C93D25" w:rsidRPr="00C93D25" w:rsidRDefault="00C93D25" w:rsidP="00646BC3">
      <w:pPr>
        <w:spacing w:line="288" w:lineRule="auto"/>
        <w:ind w:left="1276"/>
        <w:jc w:val="both"/>
        <w:rPr>
          <w:rFonts w:eastAsia="Calibri" w:cs="Times New Roman"/>
          <w:szCs w:val="16"/>
          <w:u w:val="single"/>
        </w:rPr>
      </w:pPr>
      <w:r w:rsidRPr="00C93D25">
        <w:rPr>
          <w:rFonts w:eastAsia="Calibri" w:cs="Times New Roman"/>
          <w:szCs w:val="16"/>
          <w:u w:val="single"/>
        </w:rPr>
        <w:t>Výpočet hodnocení dílčího hodnotícího kritéria:</w:t>
      </w:r>
    </w:p>
    <w:p w14:paraId="1B361B00" w14:textId="77777777" w:rsidR="00C93D25" w:rsidRPr="00C93D25" w:rsidRDefault="00C93D25" w:rsidP="00646BC3">
      <w:pPr>
        <w:spacing w:line="288" w:lineRule="auto"/>
        <w:ind w:left="1276"/>
        <w:jc w:val="both"/>
        <w:rPr>
          <w:rFonts w:eastAsia="Calibri" w:cs="Times New Roman"/>
          <w:szCs w:val="18"/>
        </w:rPr>
      </w:pPr>
      <w:r w:rsidRPr="00C93D25">
        <w:rPr>
          <w:rFonts w:eastAsia="Calibri" w:cs="Times New Roman"/>
          <w:szCs w:val="18"/>
        </w:rPr>
        <w:t>Přidělování bodů v rámci dílčího hodnotícího kritéria bude probíhat tak, že hodnotící komise přidělí body dle výše uvedené tabulky. To znamená, že počet bodů týmu bude dán součtem bodů jednotlivých hodnocených členů týmu za referenční služby. Výpočet hodnotícího kritéria odpovídá následujícímu vzorci:</w:t>
      </w:r>
    </w:p>
    <w:p w14:paraId="05B67DE9" w14:textId="77777777" w:rsidR="00C93D25" w:rsidRPr="00C93D25" w:rsidRDefault="00C93D25" w:rsidP="00646BC3">
      <w:pPr>
        <w:ind w:left="1276"/>
        <w:jc w:val="both"/>
        <w:rPr>
          <w:rFonts w:eastAsia="Calibri" w:cs="Times New Roman"/>
          <w:b/>
          <w:color w:val="000000"/>
          <w:szCs w:val="18"/>
        </w:rPr>
      </w:pPr>
      <w:r w:rsidRPr="00C93D25">
        <w:rPr>
          <w:rFonts w:eastAsia="Calibri" w:cs="Times New Roman"/>
          <w:b/>
          <w:color w:val="000000"/>
          <w:szCs w:val="18"/>
        </w:rPr>
        <w:lastRenderedPageBreak/>
        <w:t>Celkový počet bodů = 100 x (hodnocená nabídka/nejvýhodnější nabídka) x 0,35</w:t>
      </w:r>
    </w:p>
    <w:p w14:paraId="4508FBE2" w14:textId="77777777" w:rsidR="00C93D25" w:rsidRPr="00C93D25" w:rsidRDefault="00C93D25" w:rsidP="00646BC3">
      <w:pPr>
        <w:ind w:left="1276"/>
        <w:jc w:val="both"/>
        <w:rPr>
          <w:rFonts w:eastAsia="Calibri" w:cs="Times New Roman"/>
          <w:szCs w:val="18"/>
        </w:rPr>
      </w:pPr>
      <w:r w:rsidRPr="00C93D25">
        <w:rPr>
          <w:rFonts w:eastAsia="Calibri" w:cs="Times New Roman"/>
          <w:szCs w:val="18"/>
        </w:rPr>
        <w:t>Kde hodnota 0,35 ve výše uvedeném vzorci tvoří koeficient, tj. váhu dílčího kritéria hodnocení „Zkušenosti člena realizačního týmu“.</w:t>
      </w:r>
    </w:p>
    <w:p w14:paraId="04B3D556" w14:textId="77777777" w:rsidR="00C93D25" w:rsidRPr="00C93D25" w:rsidRDefault="00C93D25" w:rsidP="00646BC3">
      <w:pPr>
        <w:spacing w:before="0" w:after="0" w:line="240" w:lineRule="auto"/>
        <w:ind w:left="1276"/>
        <w:jc w:val="both"/>
        <w:rPr>
          <w:rFonts w:eastAsia="Calibri" w:cs="Times New Roman"/>
          <w:szCs w:val="18"/>
          <w:lang w:eastAsia="cs-CZ"/>
        </w:rPr>
      </w:pPr>
      <w:r w:rsidRPr="00C93D25">
        <w:rPr>
          <w:rFonts w:eastAsia="Calibri" w:cs="Times New Roman"/>
          <w:szCs w:val="18"/>
        </w:rPr>
        <w:t>Výsledné bodové zisky budou zaokrouhleny na dvě desetinná místa.</w:t>
      </w:r>
    </w:p>
    <w:p w14:paraId="20C098CB" w14:textId="77777777" w:rsidR="00C93D25" w:rsidRPr="00BE4D95" w:rsidRDefault="00C93D25" w:rsidP="00646BC3">
      <w:pPr>
        <w:pStyle w:val="Nadpis2"/>
        <w:rPr>
          <w:u w:val="single"/>
        </w:rPr>
      </w:pPr>
      <w:r w:rsidRPr="00BE4D95">
        <w:rPr>
          <w:u w:val="single"/>
        </w:rPr>
        <w:t>Odbornost dodavatele</w:t>
      </w:r>
    </w:p>
    <w:p w14:paraId="17B266AA" w14:textId="0D05240F" w:rsidR="00C93D25" w:rsidRPr="00983EC7"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 xml:space="preserve">Hodnocení v rámci tohoto dílčího kritéria bude provedeno na základě posouzení vyplněného formuláře </w:t>
      </w:r>
      <w:r w:rsidRPr="00297116">
        <w:rPr>
          <w:rFonts w:eastAsia="Times New Roman" w:cs="Times New Roman"/>
          <w:szCs w:val="18"/>
          <w:lang w:eastAsia="cs-CZ"/>
        </w:rPr>
        <w:t xml:space="preserve">dle </w:t>
      </w:r>
      <w:r w:rsidRPr="00127392">
        <w:rPr>
          <w:rFonts w:eastAsia="Times New Roman" w:cs="Times New Roman"/>
          <w:szCs w:val="18"/>
          <w:lang w:eastAsia="cs-CZ"/>
        </w:rPr>
        <w:t>přílohy č. 6</w:t>
      </w:r>
      <w:r w:rsidRPr="00297116">
        <w:rPr>
          <w:rFonts w:eastAsia="Times New Roman" w:cs="Times New Roman"/>
          <w:szCs w:val="18"/>
          <w:lang w:eastAsia="cs-CZ"/>
        </w:rPr>
        <w:t xml:space="preserve"> této</w:t>
      </w:r>
      <w:r w:rsidRPr="00C93D25">
        <w:rPr>
          <w:rFonts w:eastAsia="Times New Roman" w:cs="Times New Roman"/>
          <w:szCs w:val="18"/>
          <w:lang w:eastAsia="cs-CZ"/>
        </w:rPr>
        <w:t xml:space="preserve"> </w:t>
      </w:r>
      <w:r w:rsidR="0074154D">
        <w:rPr>
          <w:rFonts w:eastAsia="Times New Roman" w:cs="Times New Roman"/>
          <w:szCs w:val="18"/>
          <w:lang w:eastAsia="cs-CZ"/>
        </w:rPr>
        <w:t>zadávací dokumentace</w:t>
      </w:r>
      <w:r w:rsidRPr="00C93D25">
        <w:rPr>
          <w:rFonts w:eastAsia="Times New Roman" w:cs="Times New Roman"/>
          <w:szCs w:val="18"/>
          <w:lang w:eastAsia="cs-CZ"/>
        </w:rPr>
        <w:t xml:space="preserve">. V rámci kritéria hodnocení „Odbornost dodavatele“ bude zadavatel hodnotit dodavatelem předložené „Výroky“ uvedené v souladu s požadavky dle formuláře dle přílohy č. 6 této </w:t>
      </w:r>
      <w:r w:rsidR="00BF3DE8" w:rsidRPr="00BF3DE8">
        <w:rPr>
          <w:rFonts w:eastAsia="Times New Roman" w:cs="Times New Roman"/>
          <w:szCs w:val="18"/>
          <w:lang w:eastAsia="cs-CZ"/>
        </w:rPr>
        <w:t>zadávací dokumentace</w:t>
      </w:r>
      <w:r w:rsidRPr="00C93D25">
        <w:rPr>
          <w:rFonts w:eastAsia="Times New Roman" w:cs="Times New Roman"/>
          <w:szCs w:val="18"/>
          <w:lang w:eastAsia="cs-CZ"/>
        </w:rPr>
        <w:t>.</w:t>
      </w:r>
      <w:r w:rsidR="00BF3DE8">
        <w:rPr>
          <w:rFonts w:eastAsia="Times New Roman" w:cs="Times New Roman"/>
          <w:szCs w:val="18"/>
          <w:lang w:eastAsia="cs-CZ"/>
        </w:rPr>
        <w:t xml:space="preserve"> Hodnotící kritérium „</w:t>
      </w:r>
      <w:r w:rsidR="00BF3DE8" w:rsidRPr="00BF3DE8">
        <w:rPr>
          <w:rFonts w:eastAsia="Times New Roman" w:cs="Times New Roman"/>
          <w:szCs w:val="18"/>
          <w:lang w:eastAsia="cs-CZ"/>
        </w:rPr>
        <w:t>Odbornost dodavatele</w:t>
      </w:r>
      <w:r w:rsidR="00BF3DE8">
        <w:rPr>
          <w:rFonts w:eastAsia="Times New Roman" w:cs="Times New Roman"/>
          <w:szCs w:val="18"/>
          <w:lang w:eastAsia="cs-CZ"/>
        </w:rPr>
        <w:t>“ je inspirováno</w:t>
      </w:r>
      <w:r w:rsidR="00983EC7">
        <w:rPr>
          <w:rFonts w:eastAsia="Times New Roman" w:cs="Times New Roman"/>
          <w:szCs w:val="18"/>
          <w:lang w:eastAsia="cs-CZ"/>
        </w:rPr>
        <w:t xml:space="preserve"> metodou </w:t>
      </w:r>
      <w:r w:rsidR="002A56D8">
        <w:rPr>
          <w:rFonts w:eastAsia="Times New Roman" w:cs="Times New Roman"/>
          <w:szCs w:val="18"/>
          <w:lang w:eastAsia="cs-CZ"/>
        </w:rPr>
        <w:t>„</w:t>
      </w:r>
      <w:r w:rsidR="00983EC7" w:rsidRPr="00983EC7">
        <w:rPr>
          <w:rFonts w:eastAsia="Times New Roman" w:cs="Times New Roman"/>
          <w:szCs w:val="18"/>
          <w:lang w:eastAsia="cs-CZ"/>
        </w:rPr>
        <w:t xml:space="preserve">Best </w:t>
      </w:r>
      <w:proofErr w:type="spellStart"/>
      <w:r w:rsidR="00983EC7" w:rsidRPr="00983EC7">
        <w:rPr>
          <w:rFonts w:eastAsia="Times New Roman" w:cs="Times New Roman"/>
          <w:szCs w:val="18"/>
          <w:lang w:eastAsia="cs-CZ"/>
        </w:rPr>
        <w:t>Value</w:t>
      </w:r>
      <w:proofErr w:type="spellEnd"/>
      <w:r w:rsidR="00983EC7" w:rsidRPr="00983EC7">
        <w:rPr>
          <w:rFonts w:eastAsia="Times New Roman" w:cs="Times New Roman"/>
          <w:szCs w:val="18"/>
          <w:lang w:eastAsia="cs-CZ"/>
        </w:rPr>
        <w:t xml:space="preserve"> </w:t>
      </w:r>
      <w:proofErr w:type="spellStart"/>
      <w:r w:rsidR="00983EC7" w:rsidRPr="00983EC7">
        <w:rPr>
          <w:rFonts w:eastAsia="Times New Roman" w:cs="Times New Roman"/>
          <w:szCs w:val="18"/>
          <w:lang w:eastAsia="cs-CZ"/>
        </w:rPr>
        <w:t>Approach</w:t>
      </w:r>
      <w:proofErr w:type="spellEnd"/>
      <w:r w:rsidR="002A56D8">
        <w:rPr>
          <w:rFonts w:eastAsia="Times New Roman" w:cs="Times New Roman"/>
          <w:szCs w:val="18"/>
          <w:lang w:eastAsia="cs-CZ"/>
        </w:rPr>
        <w:t>“</w:t>
      </w:r>
      <w:r w:rsidR="00983EC7">
        <w:rPr>
          <w:rFonts w:eastAsia="Times New Roman" w:cs="Times New Roman"/>
          <w:szCs w:val="18"/>
          <w:lang w:eastAsia="cs-CZ"/>
        </w:rPr>
        <w:t>.</w:t>
      </w:r>
    </w:p>
    <w:p w14:paraId="321933BE" w14:textId="5496F1AF" w:rsidR="00C93D25" w:rsidRPr="00C93D25"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Hodnotící komise přidělí každé nabídce počet bodů za Odbornost dodavatele a způsob dosažení uvedené odbornosti.</w:t>
      </w:r>
    </w:p>
    <w:p w14:paraId="0BE2CB68" w14:textId="77777777" w:rsidR="00C93D25" w:rsidRPr="005C7B11" w:rsidRDefault="00C93D25" w:rsidP="00646BC3">
      <w:pPr>
        <w:widowControl w:val="0"/>
        <w:spacing w:line="288" w:lineRule="auto"/>
        <w:ind w:left="1276"/>
        <w:jc w:val="both"/>
        <w:rPr>
          <w:rFonts w:eastAsia="Times New Roman" w:cs="Times New Roman"/>
          <w:szCs w:val="18"/>
          <w:lang w:eastAsia="cs-CZ"/>
        </w:rPr>
      </w:pPr>
      <w:r w:rsidRPr="005C7B11">
        <w:rPr>
          <w:rFonts w:eastAsia="Times New Roman" w:cs="Times New Roman"/>
          <w:b/>
          <w:bCs/>
          <w:szCs w:val="18"/>
          <w:lang w:eastAsia="cs-CZ"/>
        </w:rPr>
        <w:t>Cíle veřejné zakázky</w:t>
      </w:r>
      <w:r w:rsidRPr="005C7B11">
        <w:rPr>
          <w:rFonts w:eastAsia="Times New Roman" w:cs="Times New Roman"/>
          <w:szCs w:val="18"/>
          <w:lang w:eastAsia="cs-CZ"/>
        </w:rPr>
        <w:t>:</w:t>
      </w:r>
    </w:p>
    <w:p w14:paraId="16A1FDEB" w14:textId="2F72448B" w:rsidR="00C93D25" w:rsidRPr="00333E12" w:rsidRDefault="00333E12" w:rsidP="00333E12">
      <w:pPr>
        <w:widowControl w:val="0"/>
        <w:numPr>
          <w:ilvl w:val="0"/>
          <w:numId w:val="29"/>
        </w:numPr>
        <w:spacing w:before="0" w:after="0" w:line="288" w:lineRule="auto"/>
        <w:ind w:left="1843" w:hanging="567"/>
        <w:jc w:val="both"/>
        <w:rPr>
          <w:rFonts w:eastAsia="Calibri" w:cs="Times New Roman"/>
          <w:kern w:val="2"/>
          <w:szCs w:val="18"/>
          <w14:ligatures w14:val="standardContextual"/>
        </w:rPr>
      </w:pPr>
      <w:r w:rsidRPr="00333E12">
        <w:rPr>
          <w:rFonts w:eastAsia="Calibri" w:cs="Times New Roman"/>
          <w:kern w:val="2"/>
          <w:szCs w:val="18"/>
          <w14:ligatures w14:val="standardContextual"/>
        </w:rPr>
        <w:t xml:space="preserve">Poskytnutí komplexního právního, finančního, ekonomického a technického poradenství před a v průběhu zadávacího řízení na výběr koncesionáře pro Projekt, a to včetně poradenství pro možnost uzavření příslušných smluv zadavatelem, to vše při </w:t>
      </w:r>
      <w:r w:rsidR="00C93D25" w:rsidRPr="00333E12">
        <w:rPr>
          <w:rFonts w:eastAsia="Calibri" w:cs="Times New Roman"/>
          <w:b/>
          <w:bCs/>
          <w:kern w:val="2"/>
          <w:szCs w:val="18"/>
          <w14:ligatures w14:val="standardContextual"/>
        </w:rPr>
        <w:t>maximalizaci hodnoty za peníze</w:t>
      </w:r>
      <w:r w:rsidR="00C93D25" w:rsidRPr="00333E12">
        <w:rPr>
          <w:rFonts w:eastAsia="Calibri" w:cs="Times New Roman"/>
          <w:kern w:val="2"/>
          <w:szCs w:val="18"/>
          <w14:ligatures w14:val="standardContextual"/>
        </w:rPr>
        <w:t>.</w:t>
      </w:r>
    </w:p>
    <w:p w14:paraId="5F96EF7E" w14:textId="6453D283" w:rsidR="00C93D25" w:rsidRPr="00C60D31" w:rsidRDefault="00C93D25" w:rsidP="00C93D25">
      <w:pPr>
        <w:widowControl w:val="0"/>
        <w:numPr>
          <w:ilvl w:val="0"/>
          <w:numId w:val="32"/>
        </w:numPr>
        <w:spacing w:before="0" w:after="0" w:line="288" w:lineRule="auto"/>
        <w:ind w:left="2835"/>
        <w:contextualSpacing/>
        <w:jc w:val="both"/>
        <w:rPr>
          <w:rFonts w:eastAsia="Calibri" w:cs="Times New Roman"/>
          <w:kern w:val="2"/>
          <w:szCs w:val="18"/>
          <w14:ligatures w14:val="standardContextual"/>
        </w:rPr>
      </w:pPr>
      <w:r w:rsidRPr="00333E12">
        <w:rPr>
          <w:rFonts w:eastAsia="Calibri" w:cs="Times New Roman"/>
          <w:kern w:val="2"/>
          <w:szCs w:val="18"/>
          <w14:ligatures w14:val="standardContextual"/>
        </w:rPr>
        <w:t>Zadavatel upřesňuje, že tento cíl veřejné zakázky míří na získání co nejkvalitnější</w:t>
      </w:r>
      <w:r w:rsidR="0078030E">
        <w:rPr>
          <w:rFonts w:eastAsia="Calibri" w:cs="Times New Roman"/>
          <w:kern w:val="2"/>
          <w:szCs w:val="18"/>
          <w14:ligatures w14:val="standardContextual"/>
        </w:rPr>
        <w:t>ho</w:t>
      </w:r>
      <w:r w:rsidRPr="00333E12">
        <w:rPr>
          <w:rFonts w:eastAsia="Calibri" w:cs="Times New Roman"/>
          <w:kern w:val="2"/>
          <w:szCs w:val="18"/>
          <w14:ligatures w14:val="standardContextual"/>
        </w:rPr>
        <w:t xml:space="preserve"> a současně</w:t>
      </w:r>
      <w:r w:rsidR="00333E12" w:rsidRPr="00333E12">
        <w:rPr>
          <w:rFonts w:eastAsia="Calibri" w:cs="Times New Roman"/>
          <w:kern w:val="2"/>
          <w:szCs w:val="18"/>
          <w14:ligatures w14:val="standardContextual"/>
        </w:rPr>
        <w:t xml:space="preserve"> pro zadavatele nejvyužitelnějšího plnění </w:t>
      </w:r>
      <w:r w:rsidRPr="00333E12">
        <w:rPr>
          <w:rFonts w:eastAsia="Calibri" w:cs="Times New Roman"/>
          <w:kern w:val="2"/>
          <w:szCs w:val="18"/>
          <w14:ligatures w14:val="standardContextual"/>
        </w:rPr>
        <w:t xml:space="preserve">za nabídkovou cenu, kdy tyto kvalitní a využitelné </w:t>
      </w:r>
      <w:r w:rsidR="00333E12" w:rsidRPr="00333E12">
        <w:rPr>
          <w:rFonts w:eastAsia="Calibri" w:cs="Times New Roman"/>
          <w:kern w:val="2"/>
          <w:szCs w:val="18"/>
          <w14:ligatures w14:val="standardContextual"/>
        </w:rPr>
        <w:t xml:space="preserve">služby poskytnuté dodavatelem </w:t>
      </w:r>
      <w:r w:rsidRPr="00333E12">
        <w:rPr>
          <w:rFonts w:eastAsia="Calibri" w:cs="Times New Roman"/>
          <w:kern w:val="2"/>
          <w:szCs w:val="18"/>
          <w14:ligatures w14:val="standardContextual"/>
        </w:rPr>
        <w:t>přispějí k</w:t>
      </w:r>
      <w:r w:rsidR="00333E12" w:rsidRPr="00333E12">
        <w:rPr>
          <w:rFonts w:eastAsia="Calibri" w:cs="Times New Roman"/>
          <w:kern w:val="2"/>
          <w:szCs w:val="18"/>
          <w14:ligatures w14:val="standardContextual"/>
        </w:rPr>
        <w:t xml:space="preserve"> efektivnímu výběru pro zadavatele nejvhodnějšího koncesionáře (opět s ohledem na </w:t>
      </w:r>
      <w:r w:rsidR="00333E12" w:rsidRPr="00C60D31">
        <w:rPr>
          <w:rFonts w:eastAsia="Calibri" w:cs="Times New Roman"/>
          <w:kern w:val="2"/>
          <w:szCs w:val="18"/>
          <w14:ligatures w14:val="standardContextual"/>
        </w:rPr>
        <w:t xml:space="preserve">maximalizaci hodnoty za peníze) </w:t>
      </w:r>
      <w:r w:rsidR="00C8193E">
        <w:rPr>
          <w:rFonts w:eastAsia="Calibri" w:cs="Times New Roman"/>
          <w:kern w:val="2"/>
          <w:szCs w:val="18"/>
          <w14:ligatures w14:val="standardContextual"/>
        </w:rPr>
        <w:t>pro Projekt</w:t>
      </w:r>
      <w:r w:rsidR="0020670A">
        <w:rPr>
          <w:rFonts w:eastAsia="Calibri" w:cs="Times New Roman"/>
          <w:kern w:val="2"/>
          <w:szCs w:val="18"/>
          <w14:ligatures w14:val="standardContextual"/>
        </w:rPr>
        <w:t>, při současné co nejvyšší minimalizaci rizik.</w:t>
      </w:r>
    </w:p>
    <w:p w14:paraId="3C6EADC8" w14:textId="2A5A4E26" w:rsidR="00C93D25" w:rsidRPr="00746646" w:rsidRDefault="00C93D25" w:rsidP="007216FF">
      <w:pPr>
        <w:widowControl w:val="0"/>
        <w:numPr>
          <w:ilvl w:val="0"/>
          <w:numId w:val="32"/>
        </w:numPr>
        <w:spacing w:before="0" w:line="288" w:lineRule="auto"/>
        <w:ind w:left="2835" w:hanging="357"/>
        <w:jc w:val="both"/>
        <w:rPr>
          <w:rFonts w:eastAsia="Calibri" w:cs="Times New Roman"/>
          <w:kern w:val="2"/>
          <w:szCs w:val="18"/>
          <w14:ligatures w14:val="standardContextual"/>
        </w:rPr>
      </w:pPr>
      <w:r w:rsidRPr="00C60D31">
        <w:rPr>
          <w:rFonts w:eastAsia="Calibri" w:cs="Times New Roman"/>
          <w:kern w:val="2"/>
          <w:szCs w:val="18"/>
          <w14:ligatures w14:val="standardContextual"/>
        </w:rPr>
        <w:t xml:space="preserve">Zadavatel bude za </w:t>
      </w:r>
      <w:r w:rsidR="009B6812" w:rsidRPr="00C60D31">
        <w:rPr>
          <w:rFonts w:eastAsia="Calibri" w:cs="Times New Roman"/>
          <w:kern w:val="2"/>
          <w:szCs w:val="18"/>
          <w14:ligatures w14:val="standardContextual"/>
        </w:rPr>
        <w:t xml:space="preserve">plnění naplňující cíl „maximalizace </w:t>
      </w:r>
      <w:r w:rsidR="00482DAE">
        <w:rPr>
          <w:rFonts w:eastAsia="Calibri" w:cs="Times New Roman"/>
          <w:kern w:val="2"/>
          <w:szCs w:val="18"/>
          <w14:ligatures w14:val="standardContextual"/>
        </w:rPr>
        <w:t xml:space="preserve">hodnoty </w:t>
      </w:r>
      <w:r w:rsidR="009B6812" w:rsidRPr="00C60D31">
        <w:rPr>
          <w:rFonts w:eastAsia="Calibri" w:cs="Times New Roman"/>
          <w:kern w:val="2"/>
          <w:szCs w:val="18"/>
          <w14:ligatures w14:val="standardContextual"/>
        </w:rPr>
        <w:t xml:space="preserve">za peníze“ </w:t>
      </w:r>
      <w:r w:rsidR="00482DAE">
        <w:rPr>
          <w:rFonts w:eastAsia="Calibri" w:cs="Times New Roman"/>
          <w:kern w:val="2"/>
          <w:szCs w:val="18"/>
          <w14:ligatures w14:val="standardContextual"/>
        </w:rPr>
        <w:t xml:space="preserve">považovat </w:t>
      </w:r>
      <w:r w:rsidRPr="00C60D31">
        <w:rPr>
          <w:rFonts w:eastAsia="Calibri" w:cs="Times New Roman"/>
          <w:kern w:val="2"/>
          <w:szCs w:val="18"/>
          <w14:ligatures w14:val="standardContextual"/>
        </w:rPr>
        <w:t xml:space="preserve">především </w:t>
      </w:r>
      <w:r w:rsidR="009B6812" w:rsidRPr="00C60D31">
        <w:rPr>
          <w:rFonts w:eastAsia="Calibri" w:cs="Times New Roman"/>
          <w:kern w:val="2"/>
          <w:szCs w:val="18"/>
          <w14:ligatures w14:val="standardContextual"/>
        </w:rPr>
        <w:t>poradenství dodavatele</w:t>
      </w:r>
      <w:r w:rsidRPr="00C60D31">
        <w:rPr>
          <w:rFonts w:eastAsia="Calibri" w:cs="Times New Roman"/>
          <w:kern w:val="2"/>
          <w:szCs w:val="18"/>
          <w14:ligatures w14:val="standardContextual"/>
        </w:rPr>
        <w:t>, které čerp</w:t>
      </w:r>
      <w:r w:rsidR="009B6812" w:rsidRPr="00C60D31">
        <w:rPr>
          <w:rFonts w:eastAsia="Calibri" w:cs="Times New Roman"/>
          <w:kern w:val="2"/>
          <w:szCs w:val="18"/>
          <w14:ligatures w14:val="standardContextual"/>
        </w:rPr>
        <w:t>á</w:t>
      </w:r>
      <w:r w:rsidRPr="00C60D31">
        <w:rPr>
          <w:rFonts w:eastAsia="Calibri" w:cs="Times New Roman"/>
          <w:kern w:val="2"/>
          <w:szCs w:val="18"/>
          <w14:ligatures w14:val="standardContextual"/>
        </w:rPr>
        <w:t xml:space="preserve"> z mezinárodní praxe s</w:t>
      </w:r>
      <w:r w:rsidR="009B6812" w:rsidRPr="00C60D31">
        <w:rPr>
          <w:rFonts w:eastAsia="Calibri" w:cs="Times New Roman"/>
          <w:kern w:val="2"/>
          <w:szCs w:val="18"/>
          <w14:ligatures w14:val="standardContextual"/>
        </w:rPr>
        <w:t xml:space="preserve"> </w:t>
      </w:r>
      <w:r w:rsidRPr="00C60D31">
        <w:rPr>
          <w:rFonts w:eastAsia="Calibri" w:cs="Times New Roman"/>
          <w:kern w:val="2"/>
          <w:szCs w:val="18"/>
          <w14:ligatures w14:val="standardContextual"/>
        </w:rPr>
        <w:t xml:space="preserve">obdobnými </w:t>
      </w:r>
      <w:r w:rsidR="009B6812" w:rsidRPr="00C60D31">
        <w:rPr>
          <w:rFonts w:eastAsia="Calibri" w:cs="Times New Roman"/>
          <w:kern w:val="2"/>
          <w:szCs w:val="18"/>
          <w14:ligatures w14:val="standardContextual"/>
        </w:rPr>
        <w:t>p</w:t>
      </w:r>
      <w:r w:rsidRPr="00C60D31">
        <w:rPr>
          <w:rFonts w:eastAsia="Calibri" w:cs="Times New Roman"/>
          <w:kern w:val="2"/>
          <w:szCs w:val="18"/>
          <w14:ligatures w14:val="standardContextual"/>
        </w:rPr>
        <w:t xml:space="preserve">rojekty, které </w:t>
      </w:r>
      <w:r w:rsidR="009B6812" w:rsidRPr="00C60D31">
        <w:rPr>
          <w:rFonts w:eastAsia="Calibri" w:cs="Times New Roman"/>
          <w:kern w:val="2"/>
          <w:szCs w:val="18"/>
          <w14:ligatures w14:val="standardContextual"/>
        </w:rPr>
        <w:t xml:space="preserve">bude obsahovat inovativní či mezinárodní praxí ověřené postupy pro přípravu a realizaci zadávacího řízení na výběr koncesionáře pro Projekt a které zajistí co nejefektivnější výběr koncesionáře, který nabídne zadavateli maximalizaci hodnoty za peníze a které </w:t>
      </w:r>
      <w:r w:rsidR="007216FF">
        <w:rPr>
          <w:rFonts w:eastAsia="Calibri" w:cs="Times New Roman"/>
          <w:kern w:val="2"/>
          <w:szCs w:val="18"/>
          <w14:ligatures w14:val="standardContextual"/>
        </w:rPr>
        <w:t xml:space="preserve">co nejvíce </w:t>
      </w:r>
      <w:r w:rsidRPr="00C60D31">
        <w:rPr>
          <w:rFonts w:eastAsia="Calibri" w:cs="Times New Roman"/>
          <w:kern w:val="2"/>
          <w:szCs w:val="18"/>
          <w14:ligatures w14:val="standardContextual"/>
        </w:rPr>
        <w:t>minimalizuj</w:t>
      </w:r>
      <w:r w:rsidR="009B6812" w:rsidRPr="00C60D31">
        <w:rPr>
          <w:rFonts w:eastAsia="Calibri" w:cs="Times New Roman"/>
          <w:kern w:val="2"/>
          <w:szCs w:val="18"/>
          <w14:ligatures w14:val="standardContextual"/>
        </w:rPr>
        <w:t>e</w:t>
      </w:r>
      <w:r w:rsidRPr="00C60D31">
        <w:rPr>
          <w:rFonts w:eastAsia="Calibri" w:cs="Times New Roman"/>
          <w:kern w:val="2"/>
          <w:szCs w:val="18"/>
          <w14:ligatures w14:val="standardContextual"/>
        </w:rPr>
        <w:t xml:space="preserve"> riziko </w:t>
      </w:r>
      <w:r w:rsidR="009B6812" w:rsidRPr="00C60D31">
        <w:rPr>
          <w:rFonts w:eastAsia="Calibri" w:cs="Times New Roman"/>
          <w:kern w:val="2"/>
          <w:szCs w:val="18"/>
          <w14:ligatures w14:val="standardContextual"/>
        </w:rPr>
        <w:t>výběru nevhodného koncesionáře</w:t>
      </w:r>
      <w:r w:rsidR="007216FF">
        <w:rPr>
          <w:rFonts w:eastAsia="Calibri" w:cs="Times New Roman"/>
          <w:kern w:val="2"/>
          <w:szCs w:val="18"/>
          <w14:ligatures w14:val="standardContextual"/>
        </w:rPr>
        <w:t xml:space="preserve">, </w:t>
      </w:r>
      <w:r w:rsidR="009B6812" w:rsidRPr="00C60D31">
        <w:rPr>
          <w:rFonts w:eastAsia="Calibri" w:cs="Times New Roman"/>
          <w:kern w:val="2"/>
          <w:szCs w:val="18"/>
          <w14:ligatures w14:val="standardContextual"/>
        </w:rPr>
        <w:t xml:space="preserve">riziko </w:t>
      </w:r>
      <w:r w:rsidRPr="00C60D31">
        <w:rPr>
          <w:rFonts w:eastAsia="Calibri" w:cs="Times New Roman"/>
          <w:kern w:val="2"/>
          <w:szCs w:val="18"/>
          <w14:ligatures w14:val="standardContextual"/>
        </w:rPr>
        <w:t xml:space="preserve">možných </w:t>
      </w:r>
      <w:r w:rsidR="009B6812" w:rsidRPr="00C60D31">
        <w:rPr>
          <w:rFonts w:eastAsia="Calibri" w:cs="Times New Roman"/>
          <w:kern w:val="2"/>
          <w:szCs w:val="18"/>
          <w14:ligatures w14:val="standardContextual"/>
        </w:rPr>
        <w:t>průtahů, zrušení či jiné</w:t>
      </w:r>
      <w:r w:rsidR="007216FF">
        <w:rPr>
          <w:rFonts w:eastAsia="Calibri" w:cs="Times New Roman"/>
          <w:kern w:val="2"/>
          <w:szCs w:val="18"/>
          <w14:ligatures w14:val="standardContextual"/>
        </w:rPr>
        <w:t>ho</w:t>
      </w:r>
      <w:r w:rsidR="009B6812" w:rsidRPr="00C60D31">
        <w:rPr>
          <w:rFonts w:eastAsia="Calibri" w:cs="Times New Roman"/>
          <w:kern w:val="2"/>
          <w:szCs w:val="18"/>
          <w14:ligatures w14:val="standardContextual"/>
        </w:rPr>
        <w:t xml:space="preserve"> zmaření zadávacího řízení na výběr koncesionáře</w:t>
      </w:r>
      <w:r w:rsidR="00ED1A27">
        <w:rPr>
          <w:rFonts w:eastAsia="Calibri" w:cs="Times New Roman"/>
          <w:kern w:val="2"/>
          <w:szCs w:val="18"/>
          <w14:ligatures w14:val="standardContextual"/>
        </w:rPr>
        <w:t>,</w:t>
      </w:r>
      <w:r w:rsidR="007216FF">
        <w:rPr>
          <w:rFonts w:eastAsia="Calibri" w:cs="Times New Roman"/>
          <w:kern w:val="2"/>
          <w:szCs w:val="18"/>
          <w14:ligatures w14:val="standardContextual"/>
        </w:rPr>
        <w:t xml:space="preserve"> a/nebo co nejvíce </w:t>
      </w:r>
      <w:r w:rsidR="00ED1A27">
        <w:rPr>
          <w:rFonts w:eastAsia="Calibri" w:cs="Times New Roman"/>
          <w:kern w:val="2"/>
          <w:szCs w:val="18"/>
          <w14:ligatures w14:val="standardContextual"/>
        </w:rPr>
        <w:t>minimalizuje jiná významná rizika vyplývající pro zadavatele z veřejné zaká</w:t>
      </w:r>
      <w:r w:rsidR="007216FF">
        <w:rPr>
          <w:rFonts w:eastAsia="Calibri" w:cs="Times New Roman"/>
          <w:kern w:val="2"/>
          <w:szCs w:val="18"/>
          <w14:ligatures w14:val="standardContextual"/>
        </w:rPr>
        <w:t xml:space="preserve">zky na </w:t>
      </w:r>
      <w:r w:rsidR="007216FF" w:rsidRPr="00746646">
        <w:rPr>
          <w:rFonts w:eastAsia="Calibri" w:cs="Times New Roman"/>
          <w:kern w:val="2"/>
          <w:szCs w:val="18"/>
          <w14:ligatures w14:val="standardContextual"/>
        </w:rPr>
        <w:t xml:space="preserve">koncesionáře Projektu či ze samotného </w:t>
      </w:r>
      <w:r w:rsidR="00ED1A27" w:rsidRPr="00746646">
        <w:rPr>
          <w:rFonts w:eastAsia="Calibri" w:cs="Times New Roman"/>
          <w:kern w:val="2"/>
          <w:szCs w:val="18"/>
          <w14:ligatures w14:val="standardContextual"/>
        </w:rPr>
        <w:t>Projektu.</w:t>
      </w:r>
    </w:p>
    <w:p w14:paraId="7D0DB8E7" w14:textId="38DA8784" w:rsidR="00C93D25" w:rsidRPr="00746646" w:rsidRDefault="00ED1A27" w:rsidP="00646BC3">
      <w:pPr>
        <w:widowControl w:val="0"/>
        <w:numPr>
          <w:ilvl w:val="0"/>
          <w:numId w:val="29"/>
        </w:numPr>
        <w:spacing w:before="0" w:after="0" w:line="288" w:lineRule="auto"/>
        <w:ind w:left="1843" w:hanging="567"/>
        <w:jc w:val="both"/>
        <w:rPr>
          <w:rFonts w:eastAsia="Calibri" w:cs="Times New Roman"/>
          <w:kern w:val="2"/>
          <w:szCs w:val="18"/>
          <w14:ligatures w14:val="standardContextual"/>
        </w:rPr>
      </w:pPr>
      <w:r w:rsidRPr="00746646">
        <w:rPr>
          <w:rFonts w:eastAsia="Calibri" w:cs="Times New Roman"/>
          <w:kern w:val="2"/>
          <w:szCs w:val="18"/>
          <w14:ligatures w14:val="standardContextual"/>
        </w:rPr>
        <w:t xml:space="preserve">Poskytnutí komplexního právního, finančního, ekonomického a technického poradenství před a v průběhu zadávacího řízení na výběr koncesionáře pro Projekt, a to včetně poradenství pro možnost uzavření příslušných smluv zadavatelem, to vše při </w:t>
      </w:r>
      <w:r w:rsidR="00034097" w:rsidRPr="00746646">
        <w:rPr>
          <w:rFonts w:eastAsia="Calibri" w:cs="Times New Roman"/>
          <w:kern w:val="2"/>
          <w:szCs w:val="18"/>
          <w14:ligatures w14:val="standardContextual"/>
        </w:rPr>
        <w:t xml:space="preserve">současném </w:t>
      </w:r>
      <w:r w:rsidR="00034097" w:rsidRPr="00746646">
        <w:rPr>
          <w:rFonts w:eastAsia="Calibri" w:cs="Times New Roman"/>
          <w:b/>
          <w:bCs/>
          <w:kern w:val="2"/>
          <w:szCs w:val="18"/>
          <w14:ligatures w14:val="standardContextual"/>
        </w:rPr>
        <w:t xml:space="preserve">zajištění maximální participace </w:t>
      </w:r>
      <w:r w:rsidR="00034097" w:rsidRPr="00746646">
        <w:rPr>
          <w:rFonts w:eastAsia="Calibri" w:cs="Times New Roman"/>
          <w:b/>
          <w:bCs/>
          <w:kern w:val="2"/>
          <w:szCs w:val="18"/>
          <w14:ligatures w14:val="standardContextual"/>
        </w:rPr>
        <w:lastRenderedPageBreak/>
        <w:t>multilaterálních finančních institucí při financování Projektu</w:t>
      </w:r>
      <w:r w:rsidR="00034097" w:rsidRPr="00746646">
        <w:rPr>
          <w:rFonts w:eastAsia="Calibri" w:cs="Times New Roman"/>
          <w:kern w:val="2"/>
          <w:szCs w:val="18"/>
          <w14:ligatures w14:val="standardContextual"/>
        </w:rPr>
        <w:t>.</w:t>
      </w:r>
    </w:p>
    <w:p w14:paraId="127B81AA" w14:textId="63B5AE2F" w:rsidR="00C93D25" w:rsidRPr="00746646" w:rsidRDefault="00C93D25" w:rsidP="00C93D25">
      <w:pPr>
        <w:widowControl w:val="0"/>
        <w:numPr>
          <w:ilvl w:val="0"/>
          <w:numId w:val="32"/>
        </w:numPr>
        <w:spacing w:before="0" w:after="0" w:line="288" w:lineRule="auto"/>
        <w:ind w:left="2835"/>
        <w:contextualSpacing/>
        <w:jc w:val="both"/>
        <w:rPr>
          <w:rFonts w:eastAsia="Verdana" w:cs="Times New Roman"/>
          <w:szCs w:val="18"/>
        </w:rPr>
      </w:pPr>
      <w:r w:rsidRPr="00746646">
        <w:rPr>
          <w:rFonts w:eastAsia="Calibri" w:cs="Times New Roman"/>
          <w:kern w:val="2"/>
          <w:szCs w:val="18"/>
          <w14:ligatures w14:val="standardContextual"/>
        </w:rPr>
        <w:t xml:space="preserve">Zadavatel upřesňuje, že tento cíl veřejné zakázky míří na záměr zadavatele, aby </w:t>
      </w:r>
      <w:r w:rsidR="00746646" w:rsidRPr="00746646">
        <w:rPr>
          <w:rFonts w:eastAsia="Calibri" w:cs="Times New Roman"/>
          <w:kern w:val="2"/>
          <w:szCs w:val="18"/>
          <w14:ligatures w14:val="standardContextual"/>
        </w:rPr>
        <w:t xml:space="preserve">dodavatel v rámci přípravy či průběhu zadávacího řízení na výběr koncesionáře pro Projekt zajistil maximální účast a přičinění multilaterálních finančních institucí při financování Projektu, </w:t>
      </w:r>
      <w:r w:rsidRPr="00746646">
        <w:rPr>
          <w:rFonts w:eastAsia="Calibri" w:cs="Times New Roman"/>
          <w:kern w:val="2"/>
          <w:szCs w:val="18"/>
          <w14:ligatures w14:val="standardContextual"/>
        </w:rPr>
        <w:t xml:space="preserve">což má dále přispět </w:t>
      </w:r>
      <w:r w:rsidR="009A1E46" w:rsidRPr="009A1E46">
        <w:rPr>
          <w:rFonts w:eastAsia="Calibri" w:cs="Times New Roman"/>
          <w:kern w:val="2"/>
          <w:szCs w:val="18"/>
          <w14:ligatures w14:val="standardContextual"/>
        </w:rPr>
        <w:t xml:space="preserve">k zajištění financování těchto institucí. Jejich finanční účast </w:t>
      </w:r>
      <w:r w:rsidR="009A1E46">
        <w:rPr>
          <w:rFonts w:eastAsia="Calibri" w:cs="Times New Roman"/>
          <w:kern w:val="2"/>
          <w:szCs w:val="18"/>
          <w14:ligatures w14:val="standardContextual"/>
        </w:rPr>
        <w:t xml:space="preserve">by dle záměru zadavatele měla vést </w:t>
      </w:r>
      <w:r w:rsidR="009A1E46" w:rsidRPr="009A1E46">
        <w:rPr>
          <w:rFonts w:eastAsia="Calibri" w:cs="Times New Roman"/>
          <w:kern w:val="2"/>
          <w:szCs w:val="18"/>
          <w14:ligatures w14:val="standardContextual"/>
        </w:rPr>
        <w:t xml:space="preserve">ke snížení rizikové přirážky komerčních bank, čímž </w:t>
      </w:r>
      <w:r w:rsidR="009A1E46">
        <w:rPr>
          <w:rFonts w:eastAsia="Calibri" w:cs="Times New Roman"/>
          <w:kern w:val="2"/>
          <w:szCs w:val="18"/>
          <w14:ligatures w14:val="standardContextual"/>
        </w:rPr>
        <w:t xml:space="preserve">by mělo dojít </w:t>
      </w:r>
      <w:r w:rsidR="009A1E46" w:rsidRPr="009A1E46">
        <w:rPr>
          <w:rFonts w:eastAsia="Calibri" w:cs="Times New Roman"/>
          <w:kern w:val="2"/>
          <w:szCs w:val="18"/>
          <w14:ligatures w14:val="standardContextual"/>
        </w:rPr>
        <w:t xml:space="preserve">ke snižování finančních nákladů </w:t>
      </w:r>
      <w:r w:rsidR="009A1E46">
        <w:rPr>
          <w:rFonts w:eastAsia="Calibri" w:cs="Times New Roman"/>
          <w:kern w:val="2"/>
          <w:szCs w:val="18"/>
          <w14:ligatures w14:val="standardContextual"/>
        </w:rPr>
        <w:t>P</w:t>
      </w:r>
      <w:r w:rsidR="009A1E46" w:rsidRPr="009A1E46">
        <w:rPr>
          <w:rFonts w:eastAsia="Calibri" w:cs="Times New Roman"/>
          <w:kern w:val="2"/>
          <w:szCs w:val="18"/>
          <w14:ligatures w14:val="standardContextual"/>
        </w:rPr>
        <w:t>rojektu.</w:t>
      </w:r>
      <w:r w:rsidRPr="00746646">
        <w:rPr>
          <w:rFonts w:eastAsia="Calibri" w:cs="Times New Roman"/>
          <w:kern w:val="2"/>
          <w:szCs w:val="18"/>
          <w14:ligatures w14:val="standardContextual"/>
        </w:rPr>
        <w:t xml:space="preserve"> </w:t>
      </w:r>
    </w:p>
    <w:p w14:paraId="1178C140" w14:textId="6CE0C6F8" w:rsidR="00C93D25" w:rsidRPr="00C77F3B" w:rsidRDefault="00C93D25" w:rsidP="00C77F3B">
      <w:pPr>
        <w:widowControl w:val="0"/>
        <w:numPr>
          <w:ilvl w:val="0"/>
          <w:numId w:val="32"/>
        </w:numPr>
        <w:spacing w:before="0" w:after="0" w:line="288" w:lineRule="auto"/>
        <w:ind w:left="2835"/>
        <w:contextualSpacing/>
        <w:jc w:val="both"/>
        <w:rPr>
          <w:rFonts w:eastAsia="Verdana" w:cs="Times New Roman"/>
          <w:szCs w:val="18"/>
        </w:rPr>
      </w:pPr>
      <w:r w:rsidRPr="00746646">
        <w:rPr>
          <w:rFonts w:eastAsia="Calibri" w:cs="Times New Roman"/>
          <w:kern w:val="2"/>
          <w:szCs w:val="18"/>
          <w14:ligatures w14:val="standardContextual"/>
        </w:rPr>
        <w:t>Zadavatel v rámci tohoto cíle sleduje naplnění svého záměru, aby</w:t>
      </w:r>
      <w:r w:rsidR="00BD6782">
        <w:rPr>
          <w:rFonts w:eastAsia="Calibri" w:cs="Times New Roman"/>
          <w:kern w:val="2"/>
          <w:szCs w:val="18"/>
          <w14:ligatures w14:val="standardContextual"/>
        </w:rPr>
        <w:t xml:space="preserve"> </w:t>
      </w:r>
      <w:r w:rsidR="00BD6782" w:rsidRPr="00BD6782">
        <w:rPr>
          <w:rFonts w:eastAsia="Calibri" w:cs="Times New Roman"/>
          <w:kern w:val="2"/>
          <w:szCs w:val="18"/>
          <w14:ligatures w14:val="standardContextual"/>
        </w:rPr>
        <w:t xml:space="preserve">byl </w:t>
      </w:r>
      <w:r w:rsidR="00BD6782">
        <w:rPr>
          <w:rFonts w:eastAsia="Calibri" w:cs="Times New Roman"/>
          <w:kern w:val="2"/>
          <w:szCs w:val="18"/>
          <w14:ligatures w14:val="standardContextual"/>
        </w:rPr>
        <w:t xml:space="preserve">Projekt </w:t>
      </w:r>
      <w:r w:rsidR="00BD6782" w:rsidRPr="00BD6782">
        <w:rPr>
          <w:rFonts w:eastAsia="Calibri" w:cs="Times New Roman"/>
          <w:kern w:val="2"/>
          <w:szCs w:val="18"/>
          <w14:ligatures w14:val="standardContextual"/>
        </w:rPr>
        <w:t>financován z nástrojů těchto finančních institucí a zároveň aby byl připraven v souladu se všemi standardy těchto institucí</w:t>
      </w:r>
      <w:r w:rsidRPr="00746646">
        <w:rPr>
          <w:rFonts w:eastAsia="Verdana" w:cs="Times New Roman"/>
          <w:szCs w:val="18"/>
        </w:rPr>
        <w:t>.</w:t>
      </w:r>
    </w:p>
    <w:p w14:paraId="1F141609" w14:textId="3F4F2D77" w:rsidR="00C93D25" w:rsidRPr="00C93D25" w:rsidRDefault="00C93D25" w:rsidP="00C77F3B">
      <w:pPr>
        <w:widowControl w:val="0"/>
        <w:spacing w:line="288" w:lineRule="auto"/>
        <w:ind w:left="1276"/>
        <w:jc w:val="both"/>
        <w:rPr>
          <w:rFonts w:eastAsia="Calibri" w:cs="Times New Roman"/>
          <w:kern w:val="2"/>
          <w:szCs w:val="18"/>
          <w14:ligatures w14:val="standardContextual"/>
        </w:rPr>
      </w:pPr>
      <w:r w:rsidRPr="00C93D25">
        <w:rPr>
          <w:rFonts w:eastAsia="Calibri" w:cs="Times New Roman"/>
          <w:kern w:val="2"/>
          <w:szCs w:val="18"/>
          <w14:ligatures w14:val="standardContextual"/>
        </w:rPr>
        <w:t>Zadavatel očekává, že dodavatelé v rámci svých nabídek stručně, netechnicky a jednoznačně popíší Výroky (opatření), které navrhují pro přispění k dosažení těchto Cílů a které dodavatel využije v případě plnění veřejné zakázky. Tyto Výroky dodavatelé současně odůvodní z hlediska jejich realizovatelnosti. Je zřejmé, že naplnění Cílů veřejné zakázky nebude výhradně v dispozici dodavatele a ten za ně nemůže plně odpovídat, je však povinen v souladu se svojí nabídkou plnit veřejnou zakázku tak, aby k jejich naplnění přispěl v nejvyšší možné míře.</w:t>
      </w:r>
    </w:p>
    <w:p w14:paraId="609E2AAA" w14:textId="77777777" w:rsidR="00C93D25" w:rsidRPr="00C93D25"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Ve vztahu ke každému z výše uvedených „Cílů“ této veřejné zakázky bude dodavatel ohodnocen v rámci kritéria „Odbornost dodavatele“ příslušným bodovým ohodnocením dle níže uvedené bodové stupnice.</w:t>
      </w:r>
    </w:p>
    <w:p w14:paraId="2ED79BF8" w14:textId="77777777" w:rsidR="00C93D25" w:rsidRPr="00C93D25" w:rsidRDefault="00C93D25" w:rsidP="00646BC3">
      <w:pPr>
        <w:widowControl w:val="0"/>
        <w:spacing w:line="288" w:lineRule="auto"/>
        <w:ind w:left="1276"/>
        <w:jc w:val="both"/>
        <w:rPr>
          <w:rFonts w:eastAsia="Times New Roman" w:cs="Times New Roman"/>
          <w:szCs w:val="18"/>
          <w:u w:val="single"/>
          <w:lang w:eastAsia="cs-CZ"/>
        </w:rPr>
      </w:pPr>
      <w:r w:rsidRPr="00C93D25">
        <w:rPr>
          <w:rFonts w:eastAsia="Times New Roman" w:cs="Times New Roman"/>
          <w:szCs w:val="18"/>
          <w:u w:val="single"/>
          <w:lang w:eastAsia="cs-CZ"/>
        </w:rPr>
        <w:t>Stupnice bodového hodnocení kritéria „Odbornosti dodavatele“:</w:t>
      </w:r>
    </w:p>
    <w:tbl>
      <w:tblPr>
        <w:tblStyle w:val="Mkatabulky21"/>
        <w:tblW w:w="0" w:type="auto"/>
        <w:tblInd w:w="1271" w:type="dxa"/>
        <w:tblLook w:val="04A0" w:firstRow="1" w:lastRow="0" w:firstColumn="1" w:lastColumn="0" w:noHBand="0" w:noVBand="1"/>
      </w:tblPr>
      <w:tblGrid>
        <w:gridCol w:w="3053"/>
        <w:gridCol w:w="4368"/>
      </w:tblGrid>
      <w:tr w:rsidR="00C93D25" w:rsidRPr="00C93D25" w14:paraId="3EB450D3" w14:textId="77777777" w:rsidTr="00646BC3">
        <w:tc>
          <w:tcPr>
            <w:tcW w:w="3053" w:type="dxa"/>
            <w:shd w:val="clear" w:color="auto" w:fill="BFBFBF"/>
          </w:tcPr>
          <w:p w14:paraId="20873543"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b/>
                <w:bCs/>
                <w:szCs w:val="18"/>
                <w:lang w:eastAsia="cs-CZ"/>
              </w:rPr>
            </w:pPr>
            <w:r w:rsidRPr="00AE0108">
              <w:rPr>
                <w:rFonts w:ascii="Verdana" w:eastAsia="Times New Roman" w:hAnsi="Verdana" w:cs="Times New Roman"/>
                <w:b/>
                <w:bCs/>
                <w:szCs w:val="18"/>
                <w:lang w:eastAsia="cs-CZ"/>
              </w:rPr>
              <w:t>Dílčí bodové ohodnocení</w:t>
            </w:r>
          </w:p>
        </w:tc>
        <w:tc>
          <w:tcPr>
            <w:tcW w:w="4368" w:type="dxa"/>
            <w:shd w:val="clear" w:color="auto" w:fill="BFBFBF"/>
          </w:tcPr>
          <w:p w14:paraId="7E131FB5"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b/>
                <w:bCs/>
                <w:szCs w:val="18"/>
                <w:lang w:eastAsia="cs-CZ"/>
              </w:rPr>
            </w:pPr>
            <w:r w:rsidRPr="00AE0108">
              <w:rPr>
                <w:rFonts w:ascii="Verdana" w:eastAsia="Times New Roman" w:hAnsi="Verdana" w:cs="Times New Roman"/>
                <w:b/>
                <w:bCs/>
                <w:szCs w:val="18"/>
                <w:lang w:eastAsia="cs-CZ"/>
              </w:rPr>
              <w:t>Intenzita odbornosti dodavatele vyjádřená skrze „Výroky“</w:t>
            </w:r>
          </w:p>
        </w:tc>
      </w:tr>
      <w:tr w:rsidR="00C93D25" w:rsidRPr="00C93D25" w14:paraId="59142B35" w14:textId="77777777" w:rsidTr="00646BC3">
        <w:tc>
          <w:tcPr>
            <w:tcW w:w="3053" w:type="dxa"/>
          </w:tcPr>
          <w:p w14:paraId="268D820D"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10 bodů – velmi dobrá Odbornost dodavatele</w:t>
            </w:r>
          </w:p>
        </w:tc>
        <w:tc>
          <w:tcPr>
            <w:tcW w:w="4368" w:type="dxa"/>
          </w:tcPr>
          <w:p w14:paraId="0C30B531" w14:textId="77777777" w:rsidR="00C93D25"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Vysoká míra efektu Výroku na stanovené Cíle, vyčíslený efekt Výroku představuje velmi dobré naplnění příslušného bodu Cíle veřejné zakázky. Je možné dovodit, že uvedeného efektu Výroku bude i v případě veřejné zakázky reálně dosaženo.</w:t>
            </w:r>
          </w:p>
          <w:p w14:paraId="1DC2E692" w14:textId="7C7BD7FB" w:rsidR="00597811" w:rsidRPr="00AE0108" w:rsidRDefault="00597811"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597811">
              <w:rPr>
                <w:rFonts w:ascii="Verdana" w:eastAsia="Times New Roman" w:hAnsi="Verdana" w:cs="Times New Roman"/>
                <w:szCs w:val="18"/>
                <w:lang w:eastAsia="cs-CZ"/>
              </w:rPr>
              <w:t>Vysoká míra schopnost</w:t>
            </w:r>
            <w:r>
              <w:rPr>
                <w:rFonts w:ascii="Verdana" w:eastAsia="Times New Roman" w:hAnsi="Verdana" w:cs="Times New Roman"/>
                <w:szCs w:val="18"/>
                <w:lang w:eastAsia="cs-CZ"/>
              </w:rPr>
              <w:t>i</w:t>
            </w:r>
            <w:r w:rsidRPr="00597811">
              <w:rPr>
                <w:rFonts w:ascii="Verdana" w:eastAsia="Times New Roman" w:hAnsi="Verdana" w:cs="Times New Roman"/>
                <w:szCs w:val="18"/>
                <w:lang w:eastAsia="cs-CZ"/>
              </w:rPr>
              <w:t xml:space="preserve"> dodavatele vyjádřit věcně a odborně složit</w:t>
            </w:r>
            <w:r>
              <w:rPr>
                <w:rFonts w:ascii="Verdana" w:eastAsia="Times New Roman" w:hAnsi="Verdana" w:cs="Times New Roman"/>
                <w:szCs w:val="18"/>
                <w:lang w:eastAsia="cs-CZ"/>
              </w:rPr>
              <w:t xml:space="preserve">ou problematiku </w:t>
            </w:r>
            <w:r w:rsidRPr="00597811">
              <w:rPr>
                <w:rFonts w:ascii="Verdana" w:eastAsia="Times New Roman" w:hAnsi="Verdana" w:cs="Times New Roman"/>
                <w:szCs w:val="18"/>
                <w:lang w:eastAsia="cs-CZ"/>
              </w:rPr>
              <w:t>výstižným, stručným a jednoduchým způsobem</w:t>
            </w:r>
            <w:r>
              <w:rPr>
                <w:rFonts w:ascii="Verdana" w:eastAsia="Times New Roman" w:hAnsi="Verdana" w:cs="Times New Roman"/>
                <w:szCs w:val="18"/>
                <w:lang w:eastAsia="cs-CZ"/>
              </w:rPr>
              <w:t>.</w:t>
            </w:r>
          </w:p>
        </w:tc>
      </w:tr>
      <w:tr w:rsidR="00C93D25" w:rsidRPr="00C93D25" w14:paraId="6FE95FC6" w14:textId="77777777" w:rsidTr="00646BC3">
        <w:tc>
          <w:tcPr>
            <w:tcW w:w="3053" w:type="dxa"/>
          </w:tcPr>
          <w:p w14:paraId="75CA649F"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8 bodů – dobrá Odbornost dodavatele</w:t>
            </w:r>
          </w:p>
        </w:tc>
        <w:tc>
          <w:tcPr>
            <w:tcW w:w="4368" w:type="dxa"/>
          </w:tcPr>
          <w:p w14:paraId="5AE98DC7" w14:textId="77777777" w:rsidR="00C93D25"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Míra efektu Výroku na stanovené Cíle je vyšší než průměrná, vyčíslený efekt Výroku představuje dobré naplnění příslušného bodu Cíle veřejné zakázky. Je možné dovodit, že uvedeného efektu Výroku bude i v případě Veřejné zakázky reálně dosaženo.</w:t>
            </w:r>
          </w:p>
          <w:p w14:paraId="708315D4" w14:textId="0702E82E" w:rsidR="00543F99" w:rsidRPr="00AE0108" w:rsidRDefault="00543F99"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Pr>
                <w:rFonts w:ascii="Verdana" w:eastAsia="Times New Roman" w:hAnsi="Verdana" w:cs="Times New Roman"/>
                <w:szCs w:val="18"/>
                <w:lang w:eastAsia="cs-CZ"/>
              </w:rPr>
              <w:lastRenderedPageBreak/>
              <w:t xml:space="preserve">Vyšší než průměrná </w:t>
            </w:r>
            <w:r w:rsidRPr="00543F99">
              <w:rPr>
                <w:rFonts w:ascii="Verdana" w:eastAsia="Times New Roman" w:hAnsi="Verdana" w:cs="Times New Roman"/>
                <w:szCs w:val="18"/>
                <w:lang w:eastAsia="cs-CZ"/>
              </w:rPr>
              <w:t>míra schopnosti dodavatele vyjádřit věcně a odborně složitou problematiku výstižným, stručným a jednoduchým způsobem.</w:t>
            </w:r>
          </w:p>
        </w:tc>
      </w:tr>
      <w:tr w:rsidR="00C93D25" w:rsidRPr="00C93D25" w14:paraId="199E2B8E" w14:textId="77777777" w:rsidTr="00646BC3">
        <w:tc>
          <w:tcPr>
            <w:tcW w:w="3053" w:type="dxa"/>
          </w:tcPr>
          <w:p w14:paraId="670C0F36"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lastRenderedPageBreak/>
              <w:t>6 bodů – neutrální Odbornost dodavatele</w:t>
            </w:r>
          </w:p>
        </w:tc>
        <w:tc>
          <w:tcPr>
            <w:tcW w:w="4368" w:type="dxa"/>
          </w:tcPr>
          <w:p w14:paraId="54B07431"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Nelze dospět k závěru, zda efekt Výroku bude mít vliv na stanovené Cíle, vyčíslený efekt Výroku představuje pouze dostatečné naplnění příslušného bodu Cíle veřejné zakázky či je neutrální. Odbornost dodavatele nelze považovat ani za dobrou, ani za negativní.</w:t>
            </w:r>
          </w:p>
          <w:p w14:paraId="10665305"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Neutrální hodnocení je udělováno rovněž v těch případech, kdy nelze udělit jinou hodnotu uvedenou v této stupnici, a to zejména pokud:</w:t>
            </w:r>
          </w:p>
          <w:p w14:paraId="408BAAC7" w14:textId="77777777" w:rsidR="00C93D25" w:rsidRPr="00AE0108" w:rsidRDefault="00C93D25" w:rsidP="00C93D25">
            <w:pPr>
              <w:widowControl w:val="0"/>
              <w:numPr>
                <w:ilvl w:val="0"/>
                <w:numId w:val="30"/>
              </w:numPr>
              <w:spacing w:before="0" w:after="0" w:line="288" w:lineRule="auto"/>
              <w:jc w:val="both"/>
              <w:rPr>
                <w:rFonts w:ascii="Verdana" w:eastAsia="Calibri" w:hAnsi="Verdana" w:cs="Times New Roman"/>
                <w:szCs w:val="18"/>
              </w:rPr>
            </w:pPr>
            <w:r w:rsidRPr="00AE0108">
              <w:rPr>
                <w:rFonts w:ascii="Verdana" w:eastAsia="Calibri" w:hAnsi="Verdana" w:cs="Times New Roman"/>
                <w:szCs w:val="18"/>
              </w:rPr>
              <w:t>dodavatel nepředložil Výrok;</w:t>
            </w:r>
          </w:p>
          <w:p w14:paraId="49236477" w14:textId="77777777" w:rsidR="00C93D25" w:rsidRPr="00AE0108" w:rsidRDefault="00C93D25" w:rsidP="00C93D25">
            <w:pPr>
              <w:widowControl w:val="0"/>
              <w:numPr>
                <w:ilvl w:val="0"/>
                <w:numId w:val="30"/>
              </w:numPr>
              <w:spacing w:before="0" w:after="0" w:line="288" w:lineRule="auto"/>
              <w:jc w:val="both"/>
              <w:rPr>
                <w:rFonts w:ascii="Verdana" w:eastAsia="Calibri" w:hAnsi="Verdana" w:cs="Times New Roman"/>
                <w:szCs w:val="18"/>
              </w:rPr>
            </w:pPr>
            <w:r w:rsidRPr="00AE0108">
              <w:rPr>
                <w:rFonts w:ascii="Verdana" w:eastAsia="Calibri" w:hAnsi="Verdana" w:cs="Times New Roman"/>
                <w:szCs w:val="18"/>
              </w:rPr>
              <w:t>Výrok se nevztahuje k příslušnému bodu Cíle veřejné zakázky;</w:t>
            </w:r>
          </w:p>
          <w:p w14:paraId="6DD210B4" w14:textId="77777777" w:rsidR="00C93D25" w:rsidRPr="00AE0108" w:rsidRDefault="00C93D25" w:rsidP="00C93D25">
            <w:pPr>
              <w:widowControl w:val="0"/>
              <w:numPr>
                <w:ilvl w:val="0"/>
                <w:numId w:val="30"/>
              </w:numPr>
              <w:spacing w:before="0" w:after="0" w:line="288" w:lineRule="auto"/>
              <w:jc w:val="both"/>
              <w:rPr>
                <w:rFonts w:ascii="Verdana" w:eastAsia="Calibri" w:hAnsi="Verdana" w:cs="Times New Roman"/>
                <w:szCs w:val="18"/>
              </w:rPr>
            </w:pPr>
            <w:r w:rsidRPr="00AE0108">
              <w:rPr>
                <w:rFonts w:ascii="Verdana" w:eastAsia="Calibri" w:hAnsi="Verdana" w:cs="Times New Roman"/>
                <w:szCs w:val="18"/>
              </w:rPr>
              <w:t>dodavatel (byť nepodstatně) překročil maximální rozsah dokumentu;</w:t>
            </w:r>
          </w:p>
          <w:p w14:paraId="2ED7C3AD" w14:textId="77777777" w:rsidR="00C93D25" w:rsidRPr="00AE0108" w:rsidRDefault="00C93D25" w:rsidP="00C93D25">
            <w:pPr>
              <w:widowControl w:val="0"/>
              <w:numPr>
                <w:ilvl w:val="0"/>
                <w:numId w:val="30"/>
              </w:numPr>
              <w:spacing w:before="60" w:after="60" w:line="288" w:lineRule="auto"/>
              <w:jc w:val="both"/>
              <w:outlineLvl w:val="2"/>
              <w:rPr>
                <w:rFonts w:ascii="Verdana" w:eastAsia="Calibri" w:hAnsi="Verdana" w:cs="Times New Roman"/>
                <w:szCs w:val="18"/>
              </w:rPr>
            </w:pPr>
            <w:r w:rsidRPr="00AE0108">
              <w:rPr>
                <w:rFonts w:ascii="Verdana" w:eastAsia="Calibri" w:hAnsi="Verdana" w:cs="Times New Roman"/>
                <w:szCs w:val="18"/>
              </w:rPr>
              <w:t>dokument Odbornosti dodavatele neobsahuje informace požadované v povinných polích (ve vztahu k příslušnému bodu Cíle veřejné zakázky), příp. tyto informace neodpovídají požadavkům zadavatele; informace přitom nelze vyčíst ani z jiných polí dokumentu;</w:t>
            </w:r>
          </w:p>
          <w:p w14:paraId="5D47E6DD" w14:textId="46D411FB" w:rsidR="00D5787C" w:rsidRDefault="00D5787C" w:rsidP="00C93D25">
            <w:pPr>
              <w:widowControl w:val="0"/>
              <w:numPr>
                <w:ilvl w:val="0"/>
                <w:numId w:val="30"/>
              </w:numPr>
              <w:spacing w:before="60" w:after="60" w:line="288" w:lineRule="auto"/>
              <w:jc w:val="both"/>
              <w:outlineLvl w:val="2"/>
              <w:rPr>
                <w:rFonts w:ascii="Verdana" w:eastAsia="Calibri" w:hAnsi="Verdana" w:cs="Times New Roman"/>
                <w:szCs w:val="18"/>
              </w:rPr>
            </w:pPr>
            <w:r w:rsidRPr="00D5787C">
              <w:rPr>
                <w:rFonts w:ascii="Verdana" w:eastAsia="Calibri" w:hAnsi="Verdana" w:cs="Times New Roman"/>
                <w:szCs w:val="18"/>
              </w:rPr>
              <w:t>dodavatel</w:t>
            </w:r>
            <w:r>
              <w:rPr>
                <w:rFonts w:ascii="Verdana" w:eastAsia="Calibri" w:hAnsi="Verdana" w:cs="Times New Roman"/>
                <w:szCs w:val="18"/>
              </w:rPr>
              <w:t xml:space="preserve"> dosahuje průměrné </w:t>
            </w:r>
            <w:r w:rsidRPr="00D5787C">
              <w:rPr>
                <w:rFonts w:ascii="Verdana" w:eastAsia="Calibri" w:hAnsi="Verdana" w:cs="Times New Roman"/>
                <w:szCs w:val="18"/>
              </w:rPr>
              <w:t>mír</w:t>
            </w:r>
            <w:r>
              <w:rPr>
                <w:rFonts w:ascii="Verdana" w:eastAsia="Calibri" w:hAnsi="Verdana" w:cs="Times New Roman"/>
                <w:szCs w:val="18"/>
              </w:rPr>
              <w:t>y</w:t>
            </w:r>
            <w:r w:rsidRPr="00D5787C">
              <w:rPr>
                <w:rFonts w:ascii="Verdana" w:eastAsia="Calibri" w:hAnsi="Verdana" w:cs="Times New Roman"/>
                <w:szCs w:val="18"/>
              </w:rPr>
              <w:t xml:space="preserve"> schopnosti vyjádřit věcně a odborně složitou problematiku výstižným, stručným a jednoduchým způsobem</w:t>
            </w:r>
            <w:r>
              <w:rPr>
                <w:rFonts w:ascii="Verdana" w:eastAsia="Calibri" w:hAnsi="Verdana" w:cs="Times New Roman"/>
                <w:szCs w:val="18"/>
              </w:rPr>
              <w:t>;</w:t>
            </w:r>
          </w:p>
          <w:p w14:paraId="267A881C" w14:textId="030476A2" w:rsidR="00C93D25" w:rsidRPr="00AE0108" w:rsidRDefault="00C93D25" w:rsidP="00C93D25">
            <w:pPr>
              <w:widowControl w:val="0"/>
              <w:numPr>
                <w:ilvl w:val="0"/>
                <w:numId w:val="30"/>
              </w:numPr>
              <w:spacing w:before="60" w:after="60" w:line="288" w:lineRule="auto"/>
              <w:jc w:val="both"/>
              <w:outlineLvl w:val="2"/>
              <w:rPr>
                <w:rFonts w:ascii="Verdana" w:eastAsia="Calibri" w:hAnsi="Verdana" w:cs="Times New Roman"/>
                <w:szCs w:val="18"/>
              </w:rPr>
            </w:pPr>
            <w:r w:rsidRPr="00AE0108">
              <w:rPr>
                <w:rFonts w:ascii="Verdana" w:eastAsia="Calibri" w:hAnsi="Verdana" w:cs="Times New Roman"/>
                <w:szCs w:val="18"/>
              </w:rPr>
              <w:t>Výrok a související efekt dodavatel neprokázal;</w:t>
            </w:r>
          </w:p>
          <w:p w14:paraId="45C45FDB" w14:textId="77777777" w:rsidR="00C93D25" w:rsidRPr="00AE0108" w:rsidRDefault="00C93D25" w:rsidP="00C93D25">
            <w:pPr>
              <w:widowControl w:val="0"/>
              <w:numPr>
                <w:ilvl w:val="0"/>
                <w:numId w:val="30"/>
              </w:numPr>
              <w:spacing w:before="0" w:after="0" w:line="288" w:lineRule="auto"/>
              <w:jc w:val="both"/>
              <w:rPr>
                <w:rFonts w:ascii="Verdana" w:eastAsia="Calibri" w:hAnsi="Verdana" w:cs="Times New Roman"/>
                <w:szCs w:val="18"/>
              </w:rPr>
            </w:pPr>
            <w:r w:rsidRPr="00AE0108">
              <w:rPr>
                <w:rFonts w:ascii="Verdana" w:eastAsia="Calibri" w:hAnsi="Verdana" w:cs="Times New Roman"/>
                <w:szCs w:val="18"/>
              </w:rPr>
              <w:t>efekt Výroku je vyjádřen číselnou hodnotou, která však neodpovídá uvedenému Výroku.</w:t>
            </w:r>
          </w:p>
        </w:tc>
      </w:tr>
      <w:tr w:rsidR="00C93D25" w:rsidRPr="00C93D25" w14:paraId="7341EBE2" w14:textId="77777777" w:rsidTr="00646BC3">
        <w:tc>
          <w:tcPr>
            <w:tcW w:w="3053" w:type="dxa"/>
          </w:tcPr>
          <w:p w14:paraId="63F995A4"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1 bod – záporná Odbornost dodavatele</w:t>
            </w:r>
          </w:p>
        </w:tc>
        <w:tc>
          <w:tcPr>
            <w:tcW w:w="4368" w:type="dxa"/>
          </w:tcPr>
          <w:p w14:paraId="78EE911D" w14:textId="77777777" w:rsidR="00C93D25" w:rsidRPr="00AE0108" w:rsidRDefault="00C93D25" w:rsidP="00C93D25">
            <w:pPr>
              <w:widowControl w:val="0"/>
              <w:numPr>
                <w:ilvl w:val="0"/>
                <w:numId w:val="28"/>
              </w:numPr>
              <w:spacing w:before="0" w:after="0" w:line="288" w:lineRule="auto"/>
              <w:ind w:left="0" w:firstLine="0"/>
              <w:jc w:val="both"/>
              <w:rPr>
                <w:rFonts w:ascii="Verdana" w:eastAsia="Times New Roman" w:hAnsi="Verdana" w:cs="Times New Roman"/>
                <w:szCs w:val="18"/>
                <w:lang w:eastAsia="cs-CZ"/>
              </w:rPr>
            </w:pPr>
            <w:r w:rsidRPr="00AE0108">
              <w:rPr>
                <w:rFonts w:ascii="Verdana" w:eastAsia="Times New Roman" w:hAnsi="Verdana" w:cs="Times New Roman"/>
                <w:szCs w:val="18"/>
                <w:lang w:eastAsia="cs-CZ"/>
              </w:rPr>
              <w:t>Vyčíslený efekt Výroku představuje až popření příslušného bodu Cíle veřejné zakázky. Je možné dovodit, že uvedeného negativního efektu Výroku bude i v případě Veřejné zakázky reálně dosaženo.</w:t>
            </w:r>
          </w:p>
        </w:tc>
      </w:tr>
    </w:tbl>
    <w:p w14:paraId="43034219" w14:textId="257DA49C" w:rsidR="00C93D25" w:rsidRPr="00C93D25"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Odbornost dodavatele může spočívat zejména v předchozích srovnatelných zkušenostech, v </w:t>
      </w:r>
      <w:proofErr w:type="gramStart"/>
      <w:r w:rsidRPr="00C93D25">
        <w:rPr>
          <w:rFonts w:eastAsia="Times New Roman" w:cs="Times New Roman"/>
          <w:szCs w:val="18"/>
          <w:lang w:eastAsia="cs-CZ"/>
        </w:rPr>
        <w:t>rámci</w:t>
      </w:r>
      <w:proofErr w:type="gramEnd"/>
      <w:r w:rsidRPr="00C93D25">
        <w:rPr>
          <w:rFonts w:eastAsia="Times New Roman" w:cs="Times New Roman"/>
          <w:szCs w:val="18"/>
          <w:lang w:eastAsia="cs-CZ"/>
        </w:rPr>
        <w:t xml:space="preserve"> kterých dodavatel aplikoval jím popsané Výroky a v rámci </w:t>
      </w:r>
      <w:r w:rsidRPr="00C93D25">
        <w:rPr>
          <w:rFonts w:eastAsia="Times New Roman" w:cs="Times New Roman"/>
          <w:szCs w:val="18"/>
          <w:lang w:eastAsia="cs-CZ"/>
        </w:rPr>
        <w:lastRenderedPageBreak/>
        <w:t>kterých případně dosáhl výsledku popsaného v rámci předmětných Cílů veřejné zakázky.</w:t>
      </w:r>
    </w:p>
    <w:p w14:paraId="6F0BA2CE" w14:textId="42B33175" w:rsidR="00C93D25" w:rsidRPr="00C93D25"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 xml:space="preserve">Další doporučení pro účely vyplnění formuláře </w:t>
      </w:r>
      <w:r w:rsidRPr="00297116">
        <w:rPr>
          <w:rFonts w:eastAsia="Times New Roman" w:cs="Times New Roman"/>
          <w:szCs w:val="18"/>
          <w:lang w:eastAsia="cs-CZ"/>
        </w:rPr>
        <w:t xml:space="preserve">dle </w:t>
      </w:r>
      <w:r w:rsidRPr="00134487">
        <w:rPr>
          <w:rFonts w:eastAsia="Times New Roman" w:cs="Times New Roman"/>
          <w:szCs w:val="18"/>
          <w:lang w:eastAsia="cs-CZ"/>
        </w:rPr>
        <w:t>přílohy č. 6</w:t>
      </w:r>
      <w:r w:rsidRPr="00C93D25">
        <w:rPr>
          <w:rFonts w:eastAsia="Times New Roman" w:cs="Times New Roman"/>
          <w:szCs w:val="18"/>
          <w:lang w:eastAsia="cs-CZ"/>
        </w:rPr>
        <w:t xml:space="preserve"> této </w:t>
      </w:r>
      <w:r w:rsidR="00DB3EFB" w:rsidRPr="00DB3EFB">
        <w:rPr>
          <w:rFonts w:eastAsia="Times New Roman" w:cs="Times New Roman"/>
          <w:szCs w:val="18"/>
          <w:lang w:eastAsia="cs-CZ"/>
        </w:rPr>
        <w:t xml:space="preserve">zadávací dokumentace </w:t>
      </w:r>
      <w:r w:rsidRPr="00C93D25">
        <w:rPr>
          <w:rFonts w:eastAsia="Times New Roman" w:cs="Times New Roman"/>
          <w:szCs w:val="18"/>
          <w:lang w:eastAsia="cs-CZ"/>
        </w:rPr>
        <w:t>jsou uvedeny v rámci tohoto formuláře.</w:t>
      </w:r>
    </w:p>
    <w:p w14:paraId="2C719DFE" w14:textId="77777777" w:rsidR="00C93D25" w:rsidRPr="00C93D25" w:rsidRDefault="00C93D25" w:rsidP="00646BC3">
      <w:pPr>
        <w:widowControl w:val="0"/>
        <w:spacing w:line="288" w:lineRule="auto"/>
        <w:ind w:left="1276"/>
        <w:jc w:val="both"/>
        <w:rPr>
          <w:rFonts w:eastAsia="Times New Roman" w:cs="Times New Roman"/>
          <w:szCs w:val="18"/>
          <w:u w:val="single"/>
          <w:lang w:eastAsia="cs-CZ"/>
        </w:rPr>
      </w:pPr>
      <w:r w:rsidRPr="00C93D25">
        <w:rPr>
          <w:rFonts w:eastAsia="Times New Roman" w:cs="Times New Roman"/>
          <w:szCs w:val="18"/>
          <w:u w:val="single"/>
          <w:lang w:eastAsia="cs-CZ"/>
        </w:rPr>
        <w:t>Výpočet hodnocení dílčího hodnotícího kritéria:</w:t>
      </w:r>
    </w:p>
    <w:p w14:paraId="1DC6D525" w14:textId="77777777" w:rsidR="00C93D25" w:rsidRPr="00C93D25"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Přidělování bodů v rámci dílčího hodnotícího kritéria bude probíhat tak, že hodnotící komise přidělí body dle výše uvedené tabulky. To znamená, že počet bodů bude dán součtem bodů za jednotlivé Cíle veřejné zakázky. Výpočet hodnotícího kritéria odpovídá následujícímu vzorci:</w:t>
      </w:r>
    </w:p>
    <w:p w14:paraId="6FEBA4EF" w14:textId="77777777" w:rsidR="00C93D25" w:rsidRPr="00C93D25" w:rsidRDefault="00C93D25" w:rsidP="00646BC3">
      <w:pPr>
        <w:widowControl w:val="0"/>
        <w:spacing w:line="288" w:lineRule="auto"/>
        <w:ind w:left="1276"/>
        <w:jc w:val="both"/>
        <w:rPr>
          <w:rFonts w:eastAsia="Times New Roman" w:cs="Times New Roman"/>
          <w:szCs w:val="18"/>
          <w:lang w:eastAsia="cs-CZ"/>
        </w:rPr>
      </w:pPr>
    </w:p>
    <w:p w14:paraId="3E236361" w14:textId="77777777" w:rsidR="00C93D25" w:rsidRPr="00C93D25" w:rsidRDefault="00C93D25" w:rsidP="00646BC3">
      <w:pPr>
        <w:widowControl w:val="0"/>
        <w:spacing w:line="288" w:lineRule="auto"/>
        <w:ind w:left="1276"/>
        <w:jc w:val="both"/>
        <w:rPr>
          <w:rFonts w:eastAsia="Times New Roman" w:cs="Times New Roman"/>
          <w:szCs w:val="18"/>
          <w:lang w:eastAsia="cs-CZ"/>
        </w:rPr>
      </w:pPr>
      <m:oMathPara>
        <m:oMath>
          <m:r>
            <w:rPr>
              <w:rFonts w:ascii="Cambria Math" w:eastAsia="Times New Roman" w:hAnsi="Cambria Math" w:cs="Times New Roman"/>
              <w:szCs w:val="18"/>
              <w:lang w:eastAsia="cs-CZ"/>
            </w:rPr>
            <m:t xml:space="preserve">Odbornost dodavatele=100 x </m:t>
          </m:r>
          <m:f>
            <m:fPr>
              <m:ctrlPr>
                <w:rPr>
                  <w:rFonts w:ascii="Cambria Math" w:eastAsia="Times New Roman" w:hAnsi="Cambria Math" w:cs="Times New Roman"/>
                  <w:i/>
                  <w:szCs w:val="18"/>
                  <w:lang w:eastAsia="cs-CZ"/>
                </w:rPr>
              </m:ctrlPr>
            </m:fPr>
            <m:num>
              <m:r>
                <w:rPr>
                  <w:rFonts w:ascii="Cambria Math" w:eastAsia="Times New Roman" w:hAnsi="Cambria Math" w:cs="Times New Roman"/>
                  <w:szCs w:val="18"/>
                  <w:lang w:eastAsia="cs-CZ"/>
                </w:rPr>
                <m:t>Hodnocená nabídka</m:t>
              </m:r>
            </m:num>
            <m:den>
              <m:eqArr>
                <m:eqArrPr>
                  <m:ctrlPr>
                    <w:rPr>
                      <w:rFonts w:ascii="Cambria Math" w:eastAsia="Times New Roman" w:hAnsi="Cambria Math" w:cs="Times New Roman"/>
                      <w:i/>
                      <w:szCs w:val="18"/>
                      <w:lang w:eastAsia="cs-CZ"/>
                    </w:rPr>
                  </m:ctrlPr>
                </m:eqArrPr>
                <m:e>
                  <m:r>
                    <w:rPr>
                      <w:rFonts w:ascii="Cambria Math" w:eastAsia="Times New Roman" w:hAnsi="Cambria Math" w:cs="Times New Roman"/>
                      <w:szCs w:val="18"/>
                      <w:lang w:eastAsia="cs-CZ"/>
                    </w:rPr>
                    <m:t>Nabídka s nevyšším počtem bodů</m:t>
                  </m:r>
                </m:e>
                <m:e>
                  <m:r>
                    <w:rPr>
                      <w:rFonts w:ascii="Cambria Math" w:eastAsia="Times New Roman" w:hAnsi="Cambria Math" w:cs="Times New Roman"/>
                      <w:szCs w:val="18"/>
                      <w:lang w:eastAsia="cs-CZ"/>
                    </w:rPr>
                    <m:t>za Odbornost dodavatele</m:t>
                  </m:r>
                </m:e>
              </m:eqArr>
            </m:den>
          </m:f>
          <m:r>
            <w:rPr>
              <w:rFonts w:ascii="Cambria Math" w:eastAsia="Times New Roman" w:hAnsi="Cambria Math" w:cs="Times New Roman"/>
              <w:szCs w:val="18"/>
              <w:lang w:eastAsia="cs-CZ"/>
            </w:rPr>
            <m:t xml:space="preserve"> x váha kritéria</m:t>
          </m:r>
        </m:oMath>
      </m:oMathPara>
    </w:p>
    <w:p w14:paraId="6EA85222" w14:textId="77777777" w:rsidR="00C93D25" w:rsidRPr="00C93D25" w:rsidRDefault="00C93D25" w:rsidP="00646BC3">
      <w:pPr>
        <w:widowControl w:val="0"/>
        <w:spacing w:line="288" w:lineRule="auto"/>
        <w:ind w:left="1276"/>
        <w:jc w:val="both"/>
        <w:rPr>
          <w:rFonts w:eastAsia="Times New Roman" w:cs="Times New Roman"/>
          <w:szCs w:val="18"/>
          <w:lang w:eastAsia="cs-CZ"/>
        </w:rPr>
      </w:pPr>
    </w:p>
    <w:p w14:paraId="4A63D0A5" w14:textId="77777777" w:rsidR="00C93D25" w:rsidRPr="00C93D25" w:rsidRDefault="00C93D25" w:rsidP="00646BC3">
      <w:pPr>
        <w:widowControl w:val="0"/>
        <w:spacing w:line="288" w:lineRule="auto"/>
        <w:ind w:left="1276"/>
        <w:jc w:val="both"/>
        <w:rPr>
          <w:rFonts w:eastAsia="Times New Roman" w:cs="Times New Roman"/>
          <w:szCs w:val="18"/>
          <w:lang w:eastAsia="cs-CZ"/>
        </w:rPr>
      </w:pPr>
      <w:r w:rsidRPr="00C93D25">
        <w:rPr>
          <w:rFonts w:eastAsia="Times New Roman" w:cs="Times New Roman"/>
          <w:szCs w:val="18"/>
          <w:lang w:eastAsia="cs-CZ"/>
        </w:rPr>
        <w:t>Přidělování bodů v rámci hodnotícího kritéria bude probíhat tak, že hodnotící komise přidělí body dle výše uvedené tabulky. Dosažené body dle předchozího vzorce se přepočtou tak, že dodavatel s nejvíce body dle tohoto dílčího hodnotícího kritéria obdrží 100 bodů, a každému následujícímu dodavateli se přiřadí takové bodové ohodnocení, které odpovídá poměru hodnocené nabídky k nejlepší nabídce. Takto získaný počet bodů bude vynásoben koeficientem 0,35 (váha hodnotícího kritéria Odbornost dodavatele) a následně matematicky zaokrouhlen na dvě desetinná místa. Výsledný počet bodů bude vepsán do tabulky celkového hodnocení.</w:t>
      </w:r>
    </w:p>
    <w:p w14:paraId="7248322A" w14:textId="6611FD57" w:rsidR="00C93D25" w:rsidRPr="00AE0108" w:rsidRDefault="00C93D25" w:rsidP="00646BC3">
      <w:pPr>
        <w:autoSpaceDE w:val="0"/>
        <w:autoSpaceDN w:val="0"/>
        <w:adjustRightInd w:val="0"/>
        <w:spacing w:before="0" w:line="240" w:lineRule="auto"/>
        <w:ind w:left="1276"/>
        <w:jc w:val="both"/>
        <w:rPr>
          <w:rFonts w:eastAsia="Calibri" w:cs="Times New Roman"/>
          <w:bCs/>
          <w:color w:val="000000"/>
          <w:szCs w:val="18"/>
          <w14:ligatures w14:val="standardContextual"/>
        </w:rPr>
      </w:pPr>
      <w:r w:rsidRPr="00C93D25">
        <w:rPr>
          <w:rFonts w:eastAsia="Calibri" w:cs="Times New Roman"/>
          <w:b/>
          <w:color w:val="000000"/>
          <w:szCs w:val="18"/>
          <w14:ligatures w14:val="standardContextual"/>
        </w:rPr>
        <w:t xml:space="preserve">V zájmu zajištění maximální objektivity hodnocení zadavatel požaduje, aby dodavatelé dokumenty Odbornosti dodavatele </w:t>
      </w:r>
      <w:r w:rsidRPr="00C93D25">
        <w:rPr>
          <w:rFonts w:eastAsia="Calibri" w:cs="Times New Roman"/>
          <w:b/>
          <w:bCs/>
          <w:color w:val="000000"/>
          <w:szCs w:val="18"/>
          <w14:ligatures w14:val="standardContextual"/>
        </w:rPr>
        <w:t>zpracovali zcela anonymně</w:t>
      </w:r>
      <w:r w:rsidRPr="00C93D25">
        <w:rPr>
          <w:rFonts w:eastAsia="Calibri" w:cs="Times New Roman"/>
          <w:b/>
          <w:color w:val="000000"/>
          <w:szCs w:val="18"/>
          <w14:ligatures w14:val="standardContextual"/>
        </w:rPr>
        <w:t>; neměli by v nich přímo ani nepřímo identifikovat sebe, svého poddodavatele nebo jiné klíčové pracovníky.</w:t>
      </w:r>
    </w:p>
    <w:p w14:paraId="21EAB810" w14:textId="7DDACC30" w:rsidR="00C93D25" w:rsidRPr="00C93D25" w:rsidRDefault="00C93D25" w:rsidP="00646BC3">
      <w:pPr>
        <w:spacing w:before="0" w:after="0" w:line="264" w:lineRule="auto"/>
        <w:ind w:left="1276"/>
        <w:jc w:val="both"/>
        <w:rPr>
          <w:rFonts w:eastAsia="Verdana" w:cs="Times New Roman"/>
          <w:szCs w:val="18"/>
        </w:rPr>
      </w:pPr>
      <w:r w:rsidRPr="00C93D25">
        <w:rPr>
          <w:rFonts w:eastAsia="Calibri" w:cs="Times New Roman"/>
          <w:b/>
          <w:color w:val="000000"/>
          <w:szCs w:val="18"/>
          <w14:ligatures w14:val="standardContextual"/>
        </w:rPr>
        <w:t>Budou-li dokumenty Odbornosti dodavatele přesto identifikační údaje obsahovat, zajistí zadavatel, aby byly k hodnocení předloženy tak, že identifikační údaje nebudou čitelné.</w:t>
      </w:r>
    </w:p>
    <w:p w14:paraId="44A4152E" w14:textId="77777777" w:rsidR="00C93D25" w:rsidRPr="00646BC3" w:rsidRDefault="00C93D25" w:rsidP="00646BC3">
      <w:pPr>
        <w:pStyle w:val="Nadpis2"/>
        <w:spacing w:after="120"/>
        <w:rPr>
          <w:u w:val="single"/>
        </w:rPr>
      </w:pPr>
      <w:r w:rsidRPr="00646BC3">
        <w:rPr>
          <w:u w:val="single"/>
        </w:rPr>
        <w:t>Výše nabídkové ceny</w:t>
      </w:r>
    </w:p>
    <w:p w14:paraId="65CD579B" w14:textId="77777777" w:rsidR="00C93D25" w:rsidRPr="00C93D25" w:rsidRDefault="00C93D25" w:rsidP="00646BC3">
      <w:pPr>
        <w:spacing w:before="0" w:line="264" w:lineRule="auto"/>
        <w:ind w:left="1276"/>
        <w:jc w:val="both"/>
        <w:rPr>
          <w:rFonts w:eastAsia="Verdana" w:cs="Times New Roman"/>
          <w:szCs w:val="18"/>
        </w:rPr>
      </w:pPr>
      <w:r w:rsidRPr="00C93D25">
        <w:rPr>
          <w:rFonts w:eastAsia="Verdana" w:cs="Times New Roman"/>
          <w:szCs w:val="18"/>
        </w:rPr>
        <w:t xml:space="preserve">V rámci tohoto dílčího hodnotícího kritéria bude hodnocena celková nabídková cena stanovená za kompletní předmět veřejné zakázky. </w:t>
      </w:r>
    </w:p>
    <w:p w14:paraId="11A6C39B" w14:textId="77777777" w:rsidR="00C93D25" w:rsidRPr="00C93D25" w:rsidRDefault="00C93D25" w:rsidP="00646BC3">
      <w:pPr>
        <w:spacing w:before="0" w:line="264" w:lineRule="auto"/>
        <w:ind w:left="1276"/>
        <w:jc w:val="both"/>
        <w:rPr>
          <w:rFonts w:eastAsia="Verdana" w:cs="Times New Roman"/>
          <w:szCs w:val="18"/>
        </w:rPr>
      </w:pPr>
      <w:r w:rsidRPr="00C93D25">
        <w:rPr>
          <w:rFonts w:eastAsia="Verdana" w:cs="Times New Roman"/>
          <w:szCs w:val="18"/>
        </w:rPr>
        <w:t>Jako nejvýhodnější bude hodnocena nabídka s nejnižší celkovou nabídkovou cenou bez DPH, jíž bude přiřazeno 100 bodů.</w:t>
      </w:r>
    </w:p>
    <w:p w14:paraId="45AAD32C" w14:textId="77777777" w:rsidR="00C93D25" w:rsidRPr="00C93D25" w:rsidRDefault="00C93D25" w:rsidP="00646BC3">
      <w:pPr>
        <w:spacing w:before="0" w:line="264" w:lineRule="auto"/>
        <w:ind w:left="1276"/>
        <w:jc w:val="both"/>
        <w:rPr>
          <w:rFonts w:eastAsia="Verdana" w:cs="Times New Roman"/>
          <w:szCs w:val="18"/>
        </w:rPr>
      </w:pPr>
      <w:r w:rsidRPr="00C93D25">
        <w:rPr>
          <w:rFonts w:eastAsia="Verdana" w:cs="Times New Roman"/>
          <w:szCs w:val="18"/>
        </w:rPr>
        <w:t>Každé další nabídce s vyšší celkovou nabídkovou cenou potom počet bodů, který odpovídá vzorci:</w:t>
      </w:r>
    </w:p>
    <w:p w14:paraId="45740BDC" w14:textId="4628DAF3" w:rsidR="00C93D25" w:rsidRPr="00C93D25" w:rsidRDefault="00C93D25" w:rsidP="00646BC3">
      <w:pPr>
        <w:spacing w:before="0" w:line="264" w:lineRule="auto"/>
        <w:ind w:left="1276"/>
        <w:jc w:val="both"/>
        <w:rPr>
          <w:rFonts w:eastAsia="Verdana" w:cs="Times New Roman"/>
          <w:szCs w:val="18"/>
        </w:rPr>
      </w:pPr>
      <w:r w:rsidRPr="00C93D25">
        <w:rPr>
          <w:rFonts w:eastAsia="Verdana" w:cs="Times New Roman"/>
          <w:szCs w:val="18"/>
        </w:rPr>
        <w:t>Počet bodů = 100 x (výše nejnižší celkové nabídkové ceny/ výše hodnocené celkové nabídkové ceny)</w:t>
      </w:r>
    </w:p>
    <w:p w14:paraId="0FF7DEB3" w14:textId="77777777" w:rsidR="00C93D25" w:rsidRPr="00C93D25" w:rsidRDefault="00C93D25" w:rsidP="00646BC3">
      <w:pPr>
        <w:spacing w:before="0" w:line="264" w:lineRule="auto"/>
        <w:ind w:left="1276"/>
        <w:jc w:val="both"/>
        <w:rPr>
          <w:rFonts w:eastAsia="Verdana" w:cs="Times New Roman"/>
          <w:szCs w:val="18"/>
        </w:rPr>
      </w:pPr>
      <w:r w:rsidRPr="00C93D25">
        <w:rPr>
          <w:rFonts w:eastAsia="Verdana" w:cs="Times New Roman"/>
          <w:szCs w:val="18"/>
        </w:rPr>
        <w:lastRenderedPageBreak/>
        <w:t xml:space="preserve">Výsledné bodové zisky budou vynásobeny </w:t>
      </w:r>
      <w:r w:rsidRPr="00C93D25">
        <w:rPr>
          <w:rFonts w:eastAsia="Verdana" w:cs="Times New Roman"/>
          <w:bCs/>
          <w:szCs w:val="18"/>
        </w:rPr>
        <w:t>koeficientem 0,30 (váha hodnotícího kritéria) a následně matematicky</w:t>
      </w:r>
      <w:r w:rsidRPr="00C93D25">
        <w:rPr>
          <w:rFonts w:eastAsia="Verdana" w:cs="Times New Roman"/>
          <w:szCs w:val="18"/>
        </w:rPr>
        <w:t xml:space="preserve"> zaokrouhleny na dvě desetinná místa.</w:t>
      </w:r>
    </w:p>
    <w:p w14:paraId="33274275" w14:textId="7EE74FF6" w:rsidR="00C93D25" w:rsidRPr="00C93D25" w:rsidRDefault="003F7157" w:rsidP="00646BC3">
      <w:pPr>
        <w:spacing w:before="0" w:line="264" w:lineRule="auto"/>
        <w:ind w:left="1276"/>
        <w:jc w:val="both"/>
        <w:outlineLvl w:val="2"/>
        <w:rPr>
          <w:rFonts w:eastAsia="Verdana" w:cs="Times New Roman"/>
          <w:szCs w:val="18"/>
          <w:u w:val="single"/>
        </w:rPr>
      </w:pPr>
      <w:r w:rsidRPr="003F7157">
        <w:rPr>
          <w:rFonts w:eastAsia="Verdana" w:cs="Times New Roman"/>
          <w:szCs w:val="18"/>
        </w:rPr>
        <w:t>Za mimořádně nízkou nabídkovou cenu bude zadavatel považovat nabídkovou cenu, která bude alespoň o 30 % nižší než průměr nabídkových cen položek ze všech obdržených nabídek či případně nabídek, které zadavatel nevyloučil z hodnocení. Zadavatel rovněž upozorňuje, že za mimořádně nízkou nabídkovou cenu může posoudit nabídkovou cenu i v jiných případech, než jak jsou uvedeny výše.</w:t>
      </w:r>
    </w:p>
    <w:p w14:paraId="042D5CA6" w14:textId="7D662110" w:rsidR="00C93D25" w:rsidRPr="00646BC3" w:rsidRDefault="00C93D25" w:rsidP="00646BC3">
      <w:pPr>
        <w:pStyle w:val="Nadpis2"/>
        <w:rPr>
          <w:u w:val="single"/>
        </w:rPr>
      </w:pPr>
      <w:r w:rsidRPr="00646BC3">
        <w:rPr>
          <w:u w:val="single"/>
        </w:rPr>
        <w:t>Celkové hodnocení</w:t>
      </w:r>
    </w:p>
    <w:p w14:paraId="5B47ED1F" w14:textId="77777777" w:rsidR="00C93D25" w:rsidRPr="00C93D25" w:rsidRDefault="00C93D25" w:rsidP="00646BC3">
      <w:pPr>
        <w:widowControl w:val="0"/>
        <w:spacing w:line="288" w:lineRule="auto"/>
        <w:ind w:left="1276"/>
        <w:jc w:val="both"/>
        <w:rPr>
          <w:rFonts w:eastAsia="Verdana" w:cs="Times New Roman"/>
          <w:szCs w:val="18"/>
        </w:rPr>
      </w:pPr>
      <w:r w:rsidRPr="00C93D25">
        <w:rPr>
          <w:rFonts w:eastAsia="Verdana" w:cs="Times New Roman"/>
          <w:szCs w:val="18"/>
        </w:rPr>
        <w:t>Celkový počet získaných bodů je dán součtem počtu bodů získaných v rámci dílčích hodnotících kritérií č. 1, 2. a 3. Nabídka, která získá nejvyšší počet bodů, bude hodnotící komisí vyhodnocena jako ekonomicky nejvýhodnější. Ostatní nabídky budou hodnotící komisí seřazeny dle počtu získaných bodů sestupně za nejvhodnější nabídkou a jejich pořadí bude očíslováno.</w:t>
      </w:r>
    </w:p>
    <w:p w14:paraId="7160AD87" w14:textId="77777777" w:rsidR="00C93D25" w:rsidRPr="00C93D25" w:rsidRDefault="00C93D25" w:rsidP="00646BC3">
      <w:pPr>
        <w:widowControl w:val="0"/>
        <w:spacing w:line="288" w:lineRule="auto"/>
        <w:ind w:left="1276"/>
        <w:jc w:val="both"/>
        <w:rPr>
          <w:rFonts w:eastAsia="Verdana" w:cs="Times New Roman"/>
          <w:szCs w:val="18"/>
        </w:rPr>
      </w:pPr>
      <w:r w:rsidRPr="00C93D25">
        <w:rPr>
          <w:rFonts w:eastAsia="Verdana" w:cs="Times New Roman"/>
          <w:szCs w:val="18"/>
        </w:rPr>
        <w:t>V případě, že více nabídek obdrží shodný nejvyšší počet bodů, bude ekonomicky nejvýhodnější nabídka vybrána podle níže uvedených pravidel, která se aplikují postupně (pravidla uvedená níže s vyšším číslem se aplikují pouze tehdy, pokud na základě pravidla s nižším číslem nelze určit ekonomicky nejvýhodnější nabídku). Ekonomicky výhodnější je nabídka, která:</w:t>
      </w:r>
    </w:p>
    <w:p w14:paraId="24EE0A22" w14:textId="77777777" w:rsidR="00C93D25" w:rsidRPr="00C93D25" w:rsidRDefault="00C93D25" w:rsidP="00646BC3">
      <w:pPr>
        <w:widowControl w:val="0"/>
        <w:numPr>
          <w:ilvl w:val="0"/>
          <w:numId w:val="31"/>
        </w:numPr>
        <w:spacing w:before="0" w:after="0" w:line="288" w:lineRule="auto"/>
        <w:ind w:left="1701" w:hanging="426"/>
        <w:contextualSpacing/>
        <w:jc w:val="both"/>
        <w:rPr>
          <w:rFonts w:eastAsia="Calibri" w:cs="Times New Roman"/>
          <w:kern w:val="2"/>
          <w:szCs w:val="18"/>
          <w14:ligatures w14:val="standardContextual"/>
        </w:rPr>
      </w:pPr>
      <w:r w:rsidRPr="00C93D25">
        <w:rPr>
          <w:rFonts w:eastAsia="Calibri" w:cs="Times New Roman"/>
          <w:kern w:val="2"/>
          <w:szCs w:val="18"/>
          <w14:ligatures w14:val="standardContextual"/>
        </w:rPr>
        <w:t>získala vyšší počet bodů v rámci kritéria „Odbornost dodavatele“,</w:t>
      </w:r>
    </w:p>
    <w:p w14:paraId="5B077804" w14:textId="77777777" w:rsidR="00C93D25" w:rsidRPr="00C93D25" w:rsidRDefault="00C93D25" w:rsidP="00646BC3">
      <w:pPr>
        <w:widowControl w:val="0"/>
        <w:numPr>
          <w:ilvl w:val="0"/>
          <w:numId w:val="31"/>
        </w:numPr>
        <w:spacing w:before="0" w:after="0" w:line="288" w:lineRule="auto"/>
        <w:ind w:left="1701" w:hanging="426"/>
        <w:contextualSpacing/>
        <w:jc w:val="both"/>
        <w:rPr>
          <w:rFonts w:eastAsia="Calibri" w:cs="Times New Roman"/>
          <w:kern w:val="2"/>
          <w:szCs w:val="18"/>
          <w14:ligatures w14:val="standardContextual"/>
        </w:rPr>
      </w:pPr>
      <w:r w:rsidRPr="00C93D25">
        <w:rPr>
          <w:rFonts w:eastAsia="Calibri" w:cs="Times New Roman"/>
          <w:kern w:val="2"/>
          <w:szCs w:val="18"/>
          <w14:ligatures w14:val="standardContextual"/>
        </w:rPr>
        <w:t>získala vyšší počet bodů v rámci kritéria „Zkušenosti členů realizačního týmu“,</w:t>
      </w:r>
    </w:p>
    <w:p w14:paraId="7450ADE6" w14:textId="77777777" w:rsidR="00C93D25" w:rsidRDefault="00C93D25" w:rsidP="00646BC3">
      <w:pPr>
        <w:widowControl w:val="0"/>
        <w:numPr>
          <w:ilvl w:val="0"/>
          <w:numId w:val="31"/>
        </w:numPr>
        <w:spacing w:before="0" w:after="0" w:line="288" w:lineRule="auto"/>
        <w:ind w:left="1701" w:hanging="426"/>
        <w:contextualSpacing/>
        <w:jc w:val="both"/>
        <w:rPr>
          <w:rFonts w:eastAsia="Calibri" w:cs="Times New Roman"/>
          <w:kern w:val="2"/>
          <w:szCs w:val="18"/>
          <w14:ligatures w14:val="standardContextual"/>
        </w:rPr>
      </w:pPr>
      <w:r w:rsidRPr="00C93D25">
        <w:rPr>
          <w:rFonts w:eastAsia="Calibri" w:cs="Times New Roman"/>
          <w:kern w:val="2"/>
          <w:szCs w:val="18"/>
          <w14:ligatures w14:val="standardContextual"/>
        </w:rPr>
        <w:t>získala vyšší počet bodů v rámci kritéria „Nabídková cena“,</w:t>
      </w:r>
    </w:p>
    <w:p w14:paraId="1C8F01C4" w14:textId="1ACAE21A" w:rsidR="00C93D25" w:rsidRPr="00C93D25" w:rsidRDefault="00C93D25" w:rsidP="00646BC3">
      <w:pPr>
        <w:widowControl w:val="0"/>
        <w:numPr>
          <w:ilvl w:val="0"/>
          <w:numId w:val="31"/>
        </w:numPr>
        <w:spacing w:before="0" w:after="0" w:line="288" w:lineRule="auto"/>
        <w:ind w:left="1701" w:hanging="426"/>
        <w:contextualSpacing/>
        <w:jc w:val="both"/>
        <w:rPr>
          <w:rFonts w:eastAsia="Calibri" w:cs="Times New Roman"/>
          <w:kern w:val="2"/>
          <w:szCs w:val="18"/>
          <w14:ligatures w14:val="standardContextual"/>
        </w:rPr>
      </w:pPr>
      <w:r w:rsidRPr="00C93D25">
        <w:rPr>
          <w:rFonts w:eastAsia="Calibri"/>
          <w:kern w:val="2"/>
          <w14:ligatures w14:val="standardContextual"/>
        </w:rPr>
        <w:t>byla zadavateli doručena jako první.</w:t>
      </w:r>
    </w:p>
    <w:p w14:paraId="05E4DE2B" w14:textId="0CE0865B" w:rsidR="00477261" w:rsidRPr="001549EC" w:rsidRDefault="00477261" w:rsidP="00725912">
      <w:pPr>
        <w:pStyle w:val="Nadpis1"/>
        <w:keepNext w:val="0"/>
        <w:keepLines w:val="0"/>
      </w:pPr>
      <w:r w:rsidRPr="001549EC">
        <w:t>Požadavky na zpracování nabíd</w:t>
      </w:r>
      <w:r w:rsidR="00CD5D36" w:rsidRPr="001549EC">
        <w:t>ek, způsob podání nabídek a otevírání nabídek</w:t>
      </w:r>
    </w:p>
    <w:p w14:paraId="0B9539FF" w14:textId="77777777" w:rsidR="00CD5D36" w:rsidRPr="001549EC" w:rsidRDefault="00CD5D36" w:rsidP="00646BC3">
      <w:pPr>
        <w:pStyle w:val="Nadpis2"/>
      </w:pPr>
      <w:bookmarkStart w:id="8" w:name="EZAK"/>
      <w:r w:rsidRPr="001549EC">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1549EC">
          <w:rPr>
            <w:color w:val="0563C1"/>
            <w:u w:val="single"/>
          </w:rPr>
          <w:t>https://zakazky.spravazeleznic.cz/manual.html</w:t>
        </w:r>
      </w:hyperlink>
      <w:r w:rsidRPr="001549EC">
        <w:t>.</w:t>
      </w:r>
      <w:bookmarkEnd w:id="8"/>
      <w:r w:rsidRPr="001549EC">
        <w:t xml:space="preserve"> </w:t>
      </w:r>
    </w:p>
    <w:p w14:paraId="76DEA69A" w14:textId="77777777" w:rsidR="00CD5D36" w:rsidRPr="001549EC" w:rsidRDefault="00CD5D36" w:rsidP="00646BC3">
      <w:pPr>
        <w:pStyle w:val="Nadpis2"/>
      </w:pPr>
      <w:r w:rsidRPr="001549EC">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393ACF3F" w14:textId="6BE93856" w:rsidR="00215ED5" w:rsidRPr="00215ED5" w:rsidRDefault="00215ED5" w:rsidP="00646BC3">
      <w:pPr>
        <w:pStyle w:val="Nadpis2"/>
      </w:pPr>
      <w:r w:rsidRPr="00215ED5">
        <w:t>Cenová část nabídky bude podána odděleně od ostatních částí nabídky, a to prostřednictvím příslušné funkcionality elektronického nástroje E-ZAK.</w:t>
      </w:r>
    </w:p>
    <w:p w14:paraId="7D744CB5" w14:textId="105B0D5F" w:rsidR="004256C3" w:rsidRPr="004256C3" w:rsidRDefault="007A6CB7" w:rsidP="00646BC3">
      <w:pPr>
        <w:pStyle w:val="Nadpis2"/>
      </w:pPr>
      <w:r w:rsidRPr="007A6CB7">
        <w:t>Dodavatel je oprávněn podat pouze jednu nabídku.</w:t>
      </w:r>
      <w:r w:rsidR="004256C3">
        <w:t xml:space="preserve"> </w:t>
      </w:r>
      <w:r w:rsidR="004256C3" w:rsidRPr="004256C3">
        <w:t>Zadavatel nepřipouští varianty nabídky</w:t>
      </w:r>
      <w:r w:rsidR="004256C3">
        <w:t>.</w:t>
      </w:r>
    </w:p>
    <w:p w14:paraId="613C40DC" w14:textId="103FBEF2" w:rsidR="00CD5D36" w:rsidRPr="006D22ED" w:rsidRDefault="00CD5D36" w:rsidP="00646BC3">
      <w:pPr>
        <w:pStyle w:val="Nadpis2"/>
      </w:pPr>
      <w:r w:rsidRPr="001549EC">
        <w:lastRenderedPageBreak/>
        <w:t xml:space="preserve">Pro zpracování nabídky </w:t>
      </w:r>
      <w:r w:rsidR="00566B3B">
        <w:t>z</w:t>
      </w:r>
      <w:r w:rsidRPr="001549EC">
        <w:t xml:space="preserve">adavatel doporučuje </w:t>
      </w:r>
      <w:r w:rsidR="007E741B" w:rsidRPr="007E741B">
        <w:t xml:space="preserve">v souladu s § 103 odst. 2 ZZVZ, aby </w:t>
      </w:r>
      <w:r w:rsidR="007E741B" w:rsidRPr="006D22ED">
        <w:t>podaná nabídka dodavatele byla zpracována v níže stanovené struktuře</w:t>
      </w:r>
      <w:r w:rsidR="005F0303">
        <w:t xml:space="preserve"> </w:t>
      </w:r>
      <w:r w:rsidRPr="006D22ED">
        <w:t>řazení dokladů a dokumentů:</w:t>
      </w:r>
    </w:p>
    <w:p w14:paraId="739AD29F" w14:textId="455E85FB" w:rsidR="007E741B" w:rsidRPr="006D22ED" w:rsidRDefault="007E741B" w:rsidP="00646BC3">
      <w:pPr>
        <w:ind w:left="1276"/>
        <w:rPr>
          <w:szCs w:val="18"/>
        </w:rPr>
      </w:pPr>
      <w:r w:rsidRPr="006D22ED">
        <w:rPr>
          <w:b/>
          <w:bCs/>
          <w:szCs w:val="18"/>
        </w:rPr>
        <w:t>Oddíl A – Nabídková cena</w:t>
      </w:r>
      <w:r w:rsidRPr="006D22ED">
        <w:rPr>
          <w:szCs w:val="18"/>
        </w:rPr>
        <w:t>:</w:t>
      </w:r>
    </w:p>
    <w:p w14:paraId="38E1D58E" w14:textId="24B43236" w:rsidR="00FC59C6" w:rsidRDefault="006D22ED" w:rsidP="00C93D25">
      <w:pPr>
        <w:pStyle w:val="Odstavecseseznamem"/>
        <w:numPr>
          <w:ilvl w:val="0"/>
          <w:numId w:val="7"/>
        </w:numPr>
        <w:suppressAutoHyphens/>
        <w:spacing w:line="264" w:lineRule="auto"/>
        <w:contextualSpacing w:val="0"/>
        <w:jc w:val="both"/>
        <w:rPr>
          <w:rFonts w:eastAsia="Verdana" w:cs="Times New Roman"/>
          <w:szCs w:val="18"/>
        </w:rPr>
      </w:pPr>
      <w:r>
        <w:rPr>
          <w:rFonts w:eastAsia="Verdana" w:cs="Times New Roman"/>
          <w:szCs w:val="18"/>
        </w:rPr>
        <w:t xml:space="preserve">Krycí list </w:t>
      </w:r>
      <w:r w:rsidR="00D26EBB">
        <w:rPr>
          <w:rFonts w:eastAsia="Verdana" w:cs="Times New Roman"/>
          <w:szCs w:val="18"/>
        </w:rPr>
        <w:t>–</w:t>
      </w:r>
      <w:r>
        <w:rPr>
          <w:rFonts w:eastAsia="Verdana" w:cs="Times New Roman"/>
          <w:szCs w:val="18"/>
        </w:rPr>
        <w:t xml:space="preserve"> </w:t>
      </w:r>
      <w:r w:rsidRPr="006D22ED">
        <w:rPr>
          <w:rFonts w:eastAsia="Verdana" w:cs="Times New Roman"/>
          <w:szCs w:val="18"/>
        </w:rPr>
        <w:t>obsahující základní údaje o dodavateli</w:t>
      </w:r>
      <w:r>
        <w:rPr>
          <w:rFonts w:eastAsia="Verdana" w:cs="Times New Roman"/>
          <w:szCs w:val="18"/>
        </w:rPr>
        <w:t xml:space="preserve"> a čestná prohlášení dodavatele</w:t>
      </w:r>
      <w:r w:rsidR="00DC2B11">
        <w:rPr>
          <w:rFonts w:eastAsia="Verdana" w:cs="Times New Roman"/>
          <w:szCs w:val="18"/>
        </w:rPr>
        <w:t>,</w:t>
      </w:r>
      <w:r w:rsidR="00DC2B11" w:rsidRPr="00DC2B11">
        <w:t xml:space="preserve"> </w:t>
      </w:r>
      <w:r w:rsidR="00DC2B11" w:rsidRPr="00DC2B11">
        <w:rPr>
          <w:rFonts w:eastAsia="Verdana" w:cs="Times New Roman"/>
          <w:szCs w:val="18"/>
        </w:rPr>
        <w:t xml:space="preserve">který </w:t>
      </w:r>
      <w:r w:rsidR="00DC2B11" w:rsidRPr="00297116">
        <w:rPr>
          <w:rFonts w:eastAsia="Verdana" w:cs="Times New Roman"/>
          <w:szCs w:val="18"/>
        </w:rPr>
        <w:t xml:space="preserve">tvoří </w:t>
      </w:r>
      <w:r w:rsidR="00DC2B11" w:rsidRPr="0075622F">
        <w:rPr>
          <w:rFonts w:eastAsia="Verdana" w:cs="Times New Roman"/>
          <w:szCs w:val="18"/>
        </w:rPr>
        <w:t>přílohu č. 1</w:t>
      </w:r>
      <w:r w:rsidR="00DC2B11" w:rsidRPr="00297116">
        <w:rPr>
          <w:rFonts w:eastAsia="Verdana" w:cs="Times New Roman"/>
          <w:szCs w:val="18"/>
        </w:rPr>
        <w:t xml:space="preserve"> této</w:t>
      </w:r>
      <w:r w:rsidR="00DC2B11" w:rsidRPr="00DC2B11">
        <w:rPr>
          <w:rFonts w:eastAsia="Verdana" w:cs="Times New Roman"/>
          <w:szCs w:val="18"/>
        </w:rPr>
        <w:t xml:space="preserve"> ZD</w:t>
      </w:r>
      <w:r w:rsidR="00F05842">
        <w:rPr>
          <w:rFonts w:eastAsia="Verdana" w:cs="Times New Roman"/>
          <w:szCs w:val="18"/>
        </w:rPr>
        <w:t>;</w:t>
      </w:r>
    </w:p>
    <w:p w14:paraId="3FB3C943" w14:textId="44F8CFAD" w:rsidR="00F05842" w:rsidRDefault="001C708C" w:rsidP="00C93D25">
      <w:pPr>
        <w:pStyle w:val="Odstavecseseznamem"/>
        <w:numPr>
          <w:ilvl w:val="0"/>
          <w:numId w:val="7"/>
        </w:numPr>
        <w:suppressAutoHyphens/>
        <w:spacing w:line="264" w:lineRule="auto"/>
        <w:contextualSpacing w:val="0"/>
        <w:jc w:val="both"/>
        <w:rPr>
          <w:rFonts w:eastAsia="Verdana" w:cs="Times New Roman"/>
          <w:szCs w:val="18"/>
        </w:rPr>
      </w:pPr>
      <w:r w:rsidRPr="001C708C">
        <w:rPr>
          <w:rFonts w:eastAsia="Verdana" w:cs="Times New Roman"/>
          <w:szCs w:val="18"/>
        </w:rPr>
        <w:t>Cenová nabídka</w:t>
      </w:r>
      <w:r>
        <w:rPr>
          <w:rFonts w:eastAsia="Verdana" w:cs="Times New Roman"/>
          <w:szCs w:val="18"/>
        </w:rPr>
        <w:t xml:space="preserve"> </w:t>
      </w:r>
      <w:r w:rsidR="001B4E7E">
        <w:rPr>
          <w:rFonts w:eastAsia="Verdana" w:cs="Times New Roman"/>
          <w:szCs w:val="18"/>
        </w:rPr>
        <w:t>–</w:t>
      </w:r>
      <w:r>
        <w:rPr>
          <w:rFonts w:eastAsia="Verdana" w:cs="Times New Roman"/>
          <w:szCs w:val="18"/>
        </w:rPr>
        <w:t xml:space="preserve"> </w:t>
      </w:r>
      <w:r w:rsidR="001B4E7E">
        <w:rPr>
          <w:rFonts w:eastAsia="Verdana" w:cs="Times New Roman"/>
          <w:szCs w:val="18"/>
        </w:rPr>
        <w:t xml:space="preserve">Formulář, který tvoří </w:t>
      </w:r>
      <w:r w:rsidR="001B4E7E" w:rsidRPr="0075622F">
        <w:rPr>
          <w:rFonts w:eastAsia="Verdana" w:cs="Times New Roman"/>
          <w:szCs w:val="18"/>
        </w:rPr>
        <w:t>přílohu č. 7 této ZD, vyplněný v souladu s</w:t>
      </w:r>
      <w:r w:rsidR="003F36AA" w:rsidRPr="0075622F">
        <w:rPr>
          <w:rFonts w:eastAsia="Verdana" w:cs="Times New Roman"/>
          <w:szCs w:val="18"/>
        </w:rPr>
        <w:t> kapitolou 10</w:t>
      </w:r>
      <w:r w:rsidR="003F36AA" w:rsidRPr="00297116">
        <w:rPr>
          <w:rFonts w:eastAsia="Verdana" w:cs="Times New Roman"/>
          <w:szCs w:val="18"/>
        </w:rPr>
        <w:t xml:space="preserve"> </w:t>
      </w:r>
      <w:r w:rsidR="001B4E7E" w:rsidRPr="00297116">
        <w:rPr>
          <w:rFonts w:eastAsia="Verdana" w:cs="Times New Roman"/>
          <w:szCs w:val="18"/>
        </w:rPr>
        <w:t>této</w:t>
      </w:r>
      <w:r w:rsidR="001B4E7E">
        <w:rPr>
          <w:rFonts w:eastAsia="Verdana" w:cs="Times New Roman"/>
          <w:szCs w:val="18"/>
        </w:rPr>
        <w:t xml:space="preserve"> ZD;</w:t>
      </w:r>
    </w:p>
    <w:p w14:paraId="3E5F7B63" w14:textId="3698E3EC" w:rsidR="007F0C55" w:rsidRPr="00297116" w:rsidRDefault="007F0C55" w:rsidP="00C93D25">
      <w:pPr>
        <w:pStyle w:val="Odstavecseseznamem"/>
        <w:numPr>
          <w:ilvl w:val="0"/>
          <w:numId w:val="7"/>
        </w:numPr>
        <w:suppressAutoHyphens/>
        <w:spacing w:line="264" w:lineRule="auto"/>
        <w:contextualSpacing w:val="0"/>
        <w:jc w:val="both"/>
        <w:rPr>
          <w:rFonts w:eastAsia="Verdana" w:cs="Times New Roman"/>
          <w:szCs w:val="18"/>
        </w:rPr>
      </w:pPr>
      <w:r w:rsidRPr="00297116">
        <w:rPr>
          <w:rFonts w:eastAsia="Verdana" w:cs="Times New Roman"/>
          <w:szCs w:val="18"/>
        </w:rPr>
        <w:t xml:space="preserve">Čestné prohlášení ve vztahu k zákonu o registru smluv – Dle </w:t>
      </w:r>
      <w:r w:rsidRPr="0075622F">
        <w:rPr>
          <w:rFonts w:eastAsia="Verdana" w:cs="Times New Roman"/>
          <w:szCs w:val="18"/>
        </w:rPr>
        <w:t>přílohy č. 2</w:t>
      </w:r>
      <w:r w:rsidRPr="00297116">
        <w:rPr>
          <w:rFonts w:eastAsia="Verdana" w:cs="Times New Roman"/>
          <w:szCs w:val="18"/>
        </w:rPr>
        <w:t xml:space="preserve"> této ZD (fakultativně);</w:t>
      </w:r>
    </w:p>
    <w:p w14:paraId="2FBE7DD5" w14:textId="7C720CBC" w:rsidR="007C41A3" w:rsidRPr="006D22ED" w:rsidRDefault="007C41A3" w:rsidP="00C93D25">
      <w:pPr>
        <w:pStyle w:val="Odstavecseseznamem"/>
        <w:numPr>
          <w:ilvl w:val="0"/>
          <w:numId w:val="7"/>
        </w:numPr>
        <w:suppressAutoHyphens/>
        <w:spacing w:line="264" w:lineRule="auto"/>
        <w:contextualSpacing w:val="0"/>
        <w:jc w:val="both"/>
        <w:rPr>
          <w:rFonts w:eastAsia="Verdana" w:cs="Times New Roman"/>
          <w:szCs w:val="18"/>
        </w:rPr>
      </w:pPr>
      <w:r w:rsidRPr="007C41A3">
        <w:rPr>
          <w:rFonts w:eastAsia="Verdana" w:cs="Times New Roman"/>
          <w:szCs w:val="18"/>
        </w:rPr>
        <w:t>Plné moci</w:t>
      </w:r>
      <w:r>
        <w:rPr>
          <w:rFonts w:eastAsia="Verdana" w:cs="Times New Roman"/>
          <w:szCs w:val="18"/>
        </w:rPr>
        <w:t xml:space="preserve"> </w:t>
      </w:r>
      <w:r w:rsidR="00FA7BE7">
        <w:rPr>
          <w:rFonts w:eastAsia="Verdana" w:cs="Times New Roman"/>
          <w:szCs w:val="18"/>
        </w:rPr>
        <w:t>–</w:t>
      </w:r>
      <w:r>
        <w:rPr>
          <w:rFonts w:eastAsia="Verdana" w:cs="Times New Roman"/>
          <w:szCs w:val="18"/>
        </w:rPr>
        <w:t xml:space="preserve"> </w:t>
      </w:r>
      <w:r w:rsidRPr="007C41A3">
        <w:rPr>
          <w:rFonts w:eastAsia="Verdana" w:cs="Times New Roman"/>
          <w:szCs w:val="18"/>
        </w:rPr>
        <w:t>Doklady osvědčující oprávnění jednat za dodavatele či za jiné osoby</w:t>
      </w:r>
      <w:r>
        <w:rPr>
          <w:rFonts w:eastAsia="Verdana" w:cs="Times New Roman"/>
          <w:szCs w:val="18"/>
        </w:rPr>
        <w:t xml:space="preserve"> (fakultativně)</w:t>
      </w:r>
      <w:r w:rsidR="0062026C">
        <w:rPr>
          <w:rFonts w:eastAsia="Verdana" w:cs="Times New Roman"/>
          <w:szCs w:val="18"/>
        </w:rPr>
        <w:t>.</w:t>
      </w:r>
    </w:p>
    <w:p w14:paraId="2F8114A3" w14:textId="77777777" w:rsidR="006D22ED" w:rsidRDefault="006B4EB0" w:rsidP="00646BC3">
      <w:pPr>
        <w:ind w:left="1276"/>
        <w:rPr>
          <w:szCs w:val="18"/>
        </w:rPr>
      </w:pPr>
      <w:r w:rsidRPr="006D22ED">
        <w:rPr>
          <w:b/>
          <w:bCs/>
          <w:szCs w:val="18"/>
        </w:rPr>
        <w:t xml:space="preserve">Oddíl B – </w:t>
      </w:r>
      <w:r w:rsidR="00592454" w:rsidRPr="006D22ED">
        <w:rPr>
          <w:b/>
          <w:bCs/>
          <w:szCs w:val="18"/>
        </w:rPr>
        <w:t>Kvalifikační část a hodnocení</w:t>
      </w:r>
      <w:r w:rsidRPr="006D22ED">
        <w:rPr>
          <w:szCs w:val="18"/>
        </w:rPr>
        <w:t>:</w:t>
      </w:r>
    </w:p>
    <w:p w14:paraId="601DB854" w14:textId="5CA19121" w:rsidR="006D22ED" w:rsidRDefault="001C708C" w:rsidP="00C93D25">
      <w:pPr>
        <w:pStyle w:val="Odstavecseseznamem"/>
        <w:numPr>
          <w:ilvl w:val="0"/>
          <w:numId w:val="25"/>
        </w:numPr>
        <w:suppressAutoHyphens/>
        <w:spacing w:line="264" w:lineRule="auto"/>
        <w:contextualSpacing w:val="0"/>
        <w:jc w:val="both"/>
        <w:rPr>
          <w:rFonts w:eastAsia="Verdana" w:cs="Times New Roman"/>
          <w:szCs w:val="18"/>
        </w:rPr>
      </w:pPr>
      <w:r w:rsidRPr="001C708C">
        <w:rPr>
          <w:rFonts w:eastAsia="Verdana" w:cs="Times New Roman"/>
          <w:szCs w:val="18"/>
        </w:rPr>
        <w:t>Jistota – Doklad o poskytnutí jistoty dle § 41 odst. 4 ZZVZ</w:t>
      </w:r>
      <w:r>
        <w:rPr>
          <w:rFonts w:eastAsia="Verdana" w:cs="Times New Roman"/>
          <w:szCs w:val="18"/>
        </w:rPr>
        <w:t>;</w:t>
      </w:r>
    </w:p>
    <w:p w14:paraId="6AA3F38D" w14:textId="1FD8C8B5" w:rsidR="00256E30" w:rsidRPr="0075622F" w:rsidRDefault="00020C24" w:rsidP="00C93D25">
      <w:pPr>
        <w:pStyle w:val="Odstavecseseznamem"/>
        <w:numPr>
          <w:ilvl w:val="0"/>
          <w:numId w:val="25"/>
        </w:numPr>
        <w:suppressAutoHyphens/>
        <w:spacing w:line="264" w:lineRule="auto"/>
        <w:contextualSpacing w:val="0"/>
        <w:jc w:val="both"/>
        <w:rPr>
          <w:rFonts w:eastAsia="Verdana" w:cs="Times New Roman"/>
          <w:szCs w:val="18"/>
        </w:rPr>
      </w:pPr>
      <w:r w:rsidRPr="0075622F">
        <w:rPr>
          <w:rFonts w:eastAsia="Verdana" w:cs="Times New Roman"/>
          <w:szCs w:val="18"/>
        </w:rPr>
        <w:t>Čestné prohlášení o splnění kvalifikace</w:t>
      </w:r>
      <w:r w:rsidR="0070470C" w:rsidRPr="0075622F">
        <w:rPr>
          <w:rFonts w:eastAsia="Verdana" w:cs="Times New Roman"/>
          <w:szCs w:val="18"/>
        </w:rPr>
        <w:t xml:space="preserve"> – Vyplněný formulář, který tvoří přílohu č. </w:t>
      </w:r>
      <w:r w:rsidR="00875269" w:rsidRPr="0075622F">
        <w:rPr>
          <w:rFonts w:eastAsia="Verdana" w:cs="Times New Roman"/>
          <w:szCs w:val="18"/>
        </w:rPr>
        <w:t>4</w:t>
      </w:r>
      <w:r w:rsidR="0070470C" w:rsidRPr="0075622F">
        <w:rPr>
          <w:rFonts w:eastAsia="Verdana" w:cs="Times New Roman"/>
          <w:szCs w:val="18"/>
        </w:rPr>
        <w:t xml:space="preserve"> této ZD</w:t>
      </w:r>
      <w:r w:rsidR="00256E30" w:rsidRPr="0075622F">
        <w:rPr>
          <w:rFonts w:eastAsia="Verdana" w:cs="Times New Roman"/>
          <w:szCs w:val="18"/>
        </w:rPr>
        <w:t>;</w:t>
      </w:r>
    </w:p>
    <w:p w14:paraId="10D1CD41" w14:textId="6E1719B4" w:rsidR="009E67AF" w:rsidRPr="0075622F" w:rsidRDefault="00256E30" w:rsidP="00C93D25">
      <w:pPr>
        <w:pStyle w:val="Odstavecseseznamem"/>
        <w:numPr>
          <w:ilvl w:val="0"/>
          <w:numId w:val="25"/>
        </w:numPr>
        <w:suppressAutoHyphens/>
        <w:spacing w:line="264" w:lineRule="auto"/>
        <w:contextualSpacing w:val="0"/>
        <w:jc w:val="both"/>
        <w:rPr>
          <w:rFonts w:eastAsia="Verdana" w:cs="Times New Roman"/>
          <w:szCs w:val="18"/>
        </w:rPr>
      </w:pPr>
      <w:r w:rsidRPr="0075622F">
        <w:rPr>
          <w:rFonts w:eastAsia="Verdana" w:cs="Times New Roman"/>
          <w:szCs w:val="18"/>
        </w:rPr>
        <w:t>Ž</w:t>
      </w:r>
      <w:r w:rsidR="00020C24" w:rsidRPr="0075622F">
        <w:rPr>
          <w:rFonts w:eastAsia="Verdana" w:cs="Times New Roman"/>
          <w:szCs w:val="18"/>
        </w:rPr>
        <w:t>ivotopisy členů realizačního týmu</w:t>
      </w:r>
      <w:r w:rsidRPr="0075622F">
        <w:rPr>
          <w:rFonts w:eastAsia="Verdana" w:cs="Times New Roman"/>
          <w:szCs w:val="18"/>
        </w:rPr>
        <w:t xml:space="preserve"> – Vyplněný formulář, který tvoří přílohu č. 5 této ZD;</w:t>
      </w:r>
    </w:p>
    <w:p w14:paraId="3FAF6CAE" w14:textId="0A289FED" w:rsidR="00571423" w:rsidRPr="0075622F" w:rsidRDefault="00256E30" w:rsidP="00C93D25">
      <w:pPr>
        <w:pStyle w:val="Odstavecseseznamem"/>
        <w:numPr>
          <w:ilvl w:val="0"/>
          <w:numId w:val="25"/>
        </w:numPr>
        <w:suppressAutoHyphens/>
        <w:spacing w:line="264" w:lineRule="auto"/>
        <w:contextualSpacing w:val="0"/>
        <w:jc w:val="both"/>
        <w:rPr>
          <w:rFonts w:eastAsia="Verdana" w:cs="Times New Roman"/>
          <w:szCs w:val="18"/>
        </w:rPr>
      </w:pPr>
      <w:r w:rsidRPr="0075622F">
        <w:rPr>
          <w:rFonts w:eastAsia="Verdana" w:cs="Times New Roman"/>
          <w:szCs w:val="18"/>
        </w:rPr>
        <w:t>Odbornost dodavatele – Vyplněný formulář, který tvoří přílohu č. 6 této ZD;</w:t>
      </w:r>
    </w:p>
    <w:p w14:paraId="6BAAA157" w14:textId="3791702B" w:rsidR="009E67AF" w:rsidRPr="006D22ED" w:rsidRDefault="009E67AF" w:rsidP="00C93D25">
      <w:pPr>
        <w:pStyle w:val="Odstavecseseznamem"/>
        <w:numPr>
          <w:ilvl w:val="0"/>
          <w:numId w:val="25"/>
        </w:numPr>
        <w:suppressAutoHyphens/>
        <w:spacing w:line="264" w:lineRule="auto"/>
        <w:contextualSpacing w:val="0"/>
        <w:jc w:val="both"/>
        <w:rPr>
          <w:rFonts w:eastAsia="Verdana" w:cs="Times New Roman"/>
          <w:szCs w:val="18"/>
        </w:rPr>
      </w:pPr>
      <w:r w:rsidRPr="009E67AF">
        <w:rPr>
          <w:rFonts w:eastAsia="Verdana" w:cs="Times New Roman"/>
          <w:szCs w:val="18"/>
        </w:rPr>
        <w:t>Plné moci – Doklady osvědčující oprávnění jednat za dodavatele či za jiné osoby (fakultativně).</w:t>
      </w:r>
    </w:p>
    <w:p w14:paraId="0C45B501" w14:textId="156A7116" w:rsidR="006D22ED" w:rsidRPr="006D22ED" w:rsidRDefault="006D22ED" w:rsidP="00646BC3">
      <w:pPr>
        <w:ind w:left="1276"/>
        <w:rPr>
          <w:szCs w:val="18"/>
        </w:rPr>
      </w:pPr>
      <w:r w:rsidRPr="006D22ED">
        <w:rPr>
          <w:b/>
          <w:bCs/>
          <w:szCs w:val="18"/>
        </w:rPr>
        <w:t>Oddíl C – Smluvní dokumenty</w:t>
      </w:r>
      <w:r w:rsidRPr="006D22ED">
        <w:rPr>
          <w:szCs w:val="18"/>
        </w:rPr>
        <w:t>:</w:t>
      </w:r>
    </w:p>
    <w:p w14:paraId="494F23D0" w14:textId="31D852E4" w:rsidR="006D22ED" w:rsidRPr="0075622F" w:rsidRDefault="004F3D68" w:rsidP="00C93D25">
      <w:pPr>
        <w:pStyle w:val="Odstavecseseznamem"/>
        <w:numPr>
          <w:ilvl w:val="0"/>
          <w:numId w:val="26"/>
        </w:numPr>
        <w:suppressAutoHyphens/>
        <w:spacing w:line="264" w:lineRule="auto"/>
        <w:contextualSpacing w:val="0"/>
        <w:jc w:val="both"/>
        <w:rPr>
          <w:rFonts w:eastAsia="Verdana" w:cs="Times New Roman"/>
          <w:szCs w:val="18"/>
        </w:rPr>
      </w:pPr>
      <w:r w:rsidRPr="004F3D68">
        <w:rPr>
          <w:rFonts w:eastAsia="Verdana" w:cs="Times New Roman"/>
          <w:szCs w:val="18"/>
        </w:rPr>
        <w:t>Smlouva</w:t>
      </w:r>
      <w:r>
        <w:rPr>
          <w:rFonts w:eastAsia="Verdana" w:cs="Times New Roman"/>
          <w:szCs w:val="18"/>
        </w:rPr>
        <w:t xml:space="preserve"> – </w:t>
      </w:r>
      <w:r w:rsidRPr="004F3D68">
        <w:rPr>
          <w:rFonts w:eastAsia="Verdana" w:cs="Times New Roman"/>
          <w:szCs w:val="18"/>
        </w:rPr>
        <w:t xml:space="preserve">Návrh Smlouvy </w:t>
      </w:r>
      <w:r w:rsidR="007E12BC">
        <w:rPr>
          <w:rFonts w:eastAsia="Verdana" w:cs="Times New Roman"/>
          <w:szCs w:val="18"/>
        </w:rPr>
        <w:t xml:space="preserve">tvořící </w:t>
      </w:r>
      <w:r w:rsidR="007E12BC" w:rsidRPr="0075622F">
        <w:rPr>
          <w:rFonts w:eastAsia="Verdana" w:cs="Times New Roman"/>
          <w:szCs w:val="18"/>
        </w:rPr>
        <w:t xml:space="preserve">Přílohu č. 3 této ZD </w:t>
      </w:r>
      <w:r w:rsidRPr="0075622F">
        <w:rPr>
          <w:rFonts w:eastAsia="Verdana" w:cs="Times New Roman"/>
          <w:szCs w:val="18"/>
        </w:rPr>
        <w:t>(včetně příloh) obsahující smluvní ujednání, obchodní podmínky a nabídkovou cenu</w:t>
      </w:r>
      <w:r w:rsidR="007E12BC" w:rsidRPr="0075622F">
        <w:rPr>
          <w:rFonts w:eastAsia="Verdana" w:cs="Times New Roman"/>
          <w:szCs w:val="18"/>
        </w:rPr>
        <w:t>;</w:t>
      </w:r>
    </w:p>
    <w:p w14:paraId="2DF1700B" w14:textId="6BBF9291" w:rsidR="007F0C55" w:rsidRPr="00297116" w:rsidRDefault="00A9445B" w:rsidP="00C93D25">
      <w:pPr>
        <w:pStyle w:val="Odstavecseseznamem"/>
        <w:numPr>
          <w:ilvl w:val="0"/>
          <w:numId w:val="26"/>
        </w:numPr>
        <w:suppressAutoHyphens/>
        <w:spacing w:line="264" w:lineRule="auto"/>
        <w:contextualSpacing w:val="0"/>
        <w:jc w:val="both"/>
        <w:rPr>
          <w:rFonts w:eastAsia="Verdana" w:cs="Times New Roman"/>
          <w:szCs w:val="18"/>
        </w:rPr>
      </w:pPr>
      <w:r w:rsidRPr="0075622F">
        <w:rPr>
          <w:rFonts w:eastAsia="Verdana" w:cs="Times New Roman"/>
          <w:szCs w:val="18"/>
        </w:rPr>
        <w:t>Seznam poddodavatelů – Vyplněný formulář, který tvoří Přílohu č. 8 této ZD;</w:t>
      </w:r>
    </w:p>
    <w:p w14:paraId="7746EC1B" w14:textId="5CC86312" w:rsidR="007F0C55" w:rsidRDefault="007F0C55" w:rsidP="00C93D25">
      <w:pPr>
        <w:pStyle w:val="Odstavecseseznamem"/>
        <w:numPr>
          <w:ilvl w:val="0"/>
          <w:numId w:val="26"/>
        </w:numPr>
        <w:suppressAutoHyphens/>
        <w:spacing w:line="264" w:lineRule="auto"/>
        <w:contextualSpacing w:val="0"/>
        <w:jc w:val="both"/>
        <w:rPr>
          <w:rFonts w:eastAsia="Verdana" w:cs="Times New Roman"/>
          <w:szCs w:val="18"/>
        </w:rPr>
      </w:pPr>
      <w:r w:rsidRPr="007F0C55">
        <w:rPr>
          <w:rFonts w:eastAsia="Verdana" w:cs="Times New Roman"/>
          <w:szCs w:val="18"/>
        </w:rPr>
        <w:t>Smlouva uzavřená mezi dodavateli podávajícími společnou nabídku</w:t>
      </w:r>
      <w:r>
        <w:rPr>
          <w:rFonts w:eastAsia="Verdana" w:cs="Times New Roman"/>
          <w:szCs w:val="18"/>
        </w:rPr>
        <w:t xml:space="preserve"> </w:t>
      </w:r>
      <w:r w:rsidRPr="007F0C55">
        <w:rPr>
          <w:rFonts w:eastAsia="Verdana" w:cs="Times New Roman"/>
          <w:szCs w:val="18"/>
        </w:rPr>
        <w:t>(fakultativně)</w:t>
      </w:r>
      <w:r>
        <w:rPr>
          <w:rFonts w:eastAsia="Verdana" w:cs="Times New Roman"/>
          <w:szCs w:val="18"/>
        </w:rPr>
        <w:t>;</w:t>
      </w:r>
    </w:p>
    <w:p w14:paraId="49558A3A" w14:textId="77777777" w:rsidR="00320492" w:rsidRDefault="007F0C55" w:rsidP="00320492">
      <w:pPr>
        <w:pStyle w:val="Odstavecseseznamem"/>
        <w:numPr>
          <w:ilvl w:val="0"/>
          <w:numId w:val="26"/>
        </w:numPr>
        <w:suppressAutoHyphens/>
        <w:spacing w:line="264" w:lineRule="auto"/>
        <w:contextualSpacing w:val="0"/>
        <w:jc w:val="both"/>
        <w:rPr>
          <w:rFonts w:eastAsia="Verdana" w:cs="Times New Roman"/>
          <w:szCs w:val="18"/>
        </w:rPr>
      </w:pPr>
      <w:r w:rsidRPr="007F0C55">
        <w:rPr>
          <w:rFonts w:eastAsia="Verdana" w:cs="Times New Roman"/>
          <w:szCs w:val="18"/>
        </w:rPr>
        <w:t>Plné moci – Doklady osvědčující oprávnění jednat za dodavatele či za jiné osoby (fakultativně).</w:t>
      </w:r>
    </w:p>
    <w:p w14:paraId="637F6BD1" w14:textId="49688224" w:rsidR="001C49D3" w:rsidRPr="00320492" w:rsidRDefault="002E5CDC" w:rsidP="00320492">
      <w:pPr>
        <w:pStyle w:val="Odstavecseseznamem"/>
        <w:numPr>
          <w:ilvl w:val="0"/>
          <w:numId w:val="26"/>
        </w:numPr>
        <w:suppressAutoHyphens/>
        <w:spacing w:line="264" w:lineRule="auto"/>
        <w:contextualSpacing w:val="0"/>
        <w:jc w:val="both"/>
        <w:rPr>
          <w:rFonts w:eastAsia="Verdana" w:cs="Times New Roman"/>
          <w:szCs w:val="18"/>
        </w:rPr>
      </w:pPr>
      <w:r w:rsidRPr="00320492">
        <w:rPr>
          <w:noProof/>
          <w:szCs w:val="18"/>
        </w:rPr>
        <w:t>Ostatní dokumenty. Součástí nabídky mohou být další informace či dokumenty vyplývající z požadavků zadavatele nebo z vlastní vůle účastník</w:t>
      </w:r>
      <w:r w:rsidR="00DA60BD" w:rsidRPr="00320492">
        <w:rPr>
          <w:noProof/>
          <w:szCs w:val="18"/>
        </w:rPr>
        <w:t>a (fakultativně).</w:t>
      </w:r>
    </w:p>
    <w:p w14:paraId="74C2A14E" w14:textId="62FA7182" w:rsidR="00D742C1" w:rsidRPr="00D742C1" w:rsidRDefault="00D742C1" w:rsidP="00646BC3">
      <w:pPr>
        <w:suppressAutoHyphens/>
        <w:spacing w:before="0" w:line="264" w:lineRule="auto"/>
        <w:ind w:left="1276"/>
        <w:jc w:val="both"/>
        <w:rPr>
          <w:noProof/>
          <w:szCs w:val="18"/>
        </w:rPr>
      </w:pPr>
      <w:r w:rsidRPr="00D742C1">
        <w:rPr>
          <w:noProof/>
          <w:szCs w:val="18"/>
        </w:rPr>
        <w:t>Zadavatel doporučuje, aby všechny uvedené dokumenty tvořící jeden Oddíl nabídky b</w:t>
      </w:r>
      <w:r w:rsidR="00DD78C3">
        <w:rPr>
          <w:noProof/>
          <w:szCs w:val="18"/>
        </w:rPr>
        <w:t>yly</w:t>
      </w:r>
      <w:r w:rsidRPr="00D742C1">
        <w:rPr>
          <w:noProof/>
          <w:szCs w:val="18"/>
        </w:rPr>
        <w:t xml:space="preserve"> spojeny do jednoho celistvého souboru ve formátu PDF.</w:t>
      </w:r>
      <w:r>
        <w:rPr>
          <w:noProof/>
          <w:szCs w:val="18"/>
        </w:rPr>
        <w:t xml:space="preserve"> </w:t>
      </w:r>
      <w:r w:rsidRPr="001549EC">
        <w:t xml:space="preserve">Dokumenty musí být do systému E-ZAK vkládány jako jeden soubor (ve výše uvedených formátech) nebo více zkomprimovaných souborů ve formátu zip, </w:t>
      </w:r>
      <w:proofErr w:type="spellStart"/>
      <w:r w:rsidRPr="001549EC">
        <w:t>rar</w:t>
      </w:r>
      <w:proofErr w:type="spellEnd"/>
      <w:r w:rsidRPr="001549EC">
        <w:t xml:space="preserve"> nebo 7z, bez použití hesla. Zkomprimované soubory nesmí obsahovat žádný další </w:t>
      </w:r>
      <w:r w:rsidRPr="001549EC">
        <w:lastRenderedPageBreak/>
        <w:t xml:space="preserve">zkomprimovaný soubor. Zadavatel upozorňuje, že systém elektronického zadávání veřejných zakázek E-ZAK umožňuje pracovat se soubory o velikosti nejvýše </w:t>
      </w:r>
      <w:r w:rsidRPr="0075622F">
        <w:t>50 MB</w:t>
      </w:r>
      <w:r w:rsidRPr="001549EC">
        <w:t xml:space="preserve"> za jeden takový soubor, příp. zkomprimované soubory. Soubory většího rozsahu je nutno před jejich odesláním prostřednictvím E-ZAK vhodným způsobem rozdělit. Velikost samotné nabídky jako celku není nijak omezena.</w:t>
      </w:r>
    </w:p>
    <w:p w14:paraId="50644AE1" w14:textId="2F39EC83" w:rsidR="00CD5D36" w:rsidRPr="001549EC" w:rsidRDefault="00CD5D36" w:rsidP="00646BC3">
      <w:pPr>
        <w:pStyle w:val="Nadpis2"/>
      </w:pPr>
      <w:r w:rsidRPr="001549EC">
        <w:t xml:space="preserve">Nabídka musí být podána elektronickými prostředky prostřednictvím elektronického nástroje E-ZAK, který je profilem Zadavatele, a to v českém </w:t>
      </w:r>
      <w:r w:rsidR="00E70D61">
        <w:t xml:space="preserve">nebo slovenském </w:t>
      </w:r>
      <w:r w:rsidRPr="001549EC">
        <w:t xml:space="preserve">jazyce nebo v souladu s ustanovením § 45 odst. 3 ZZVZ. Zadavatel nepřipouští podání nabídky v listinné podobě ani v jiné elektronické formě mimo elektronický nástroj E-ZAK. </w:t>
      </w:r>
    </w:p>
    <w:p w14:paraId="423EDA18" w14:textId="0AEFBCE4" w:rsidR="00CD5D36" w:rsidRPr="001549EC" w:rsidRDefault="00CD5D36" w:rsidP="00646BC3">
      <w:pPr>
        <w:pStyle w:val="Nadpis2"/>
      </w:pPr>
      <w:r w:rsidRPr="001549EC">
        <w:t xml:space="preserve">Nabídky podávané v elektronické podobě účastník doručí do konce níže uvedené lhůty pro podání nabídek, a to prostřednictvím elektronického nástroje E-ZAK na níže uvedenou elektronickou adresu </w:t>
      </w:r>
      <w:hyperlink r:id="rId14" w:history="1">
        <w:r w:rsidRPr="001549EC">
          <w:rPr>
            <w:color w:val="0563C1"/>
            <w:u w:val="single"/>
          </w:rPr>
          <w:t>https://zakazky.spravazeleznic.cz/</w:t>
        </w:r>
      </w:hyperlink>
      <w:r w:rsidRPr="001549EC">
        <w:t>.</w:t>
      </w:r>
    </w:p>
    <w:p w14:paraId="73247EAB" w14:textId="3319D18B" w:rsidR="00CD5D36" w:rsidRPr="001549EC" w:rsidRDefault="00CD5D36" w:rsidP="00646BC3">
      <w:pPr>
        <w:pStyle w:val="Nadpis2"/>
      </w:pPr>
      <w:r w:rsidRPr="00B4322D">
        <w:rPr>
          <w:b/>
          <w:bCs/>
        </w:rPr>
        <w:t xml:space="preserve">Lhůta pro podání nabídek </w:t>
      </w:r>
      <w:r w:rsidR="0055424C">
        <w:rPr>
          <w:b/>
          <w:bCs/>
        </w:rPr>
        <w:t>je</w:t>
      </w:r>
      <w:r w:rsidRPr="00B4322D">
        <w:rPr>
          <w:b/>
          <w:bCs/>
        </w:rPr>
        <w:t xml:space="preserve"> stanovena prostřednictvím elektronického nástroje E-ZAK</w:t>
      </w:r>
      <w:r w:rsidRPr="001549EC">
        <w:t>.</w:t>
      </w:r>
      <w:r w:rsidR="00E05125">
        <w:t xml:space="preserve"> </w:t>
      </w:r>
      <w:r w:rsidRPr="001549EC">
        <w:t xml:space="preserve">Otevírání nabídek je neveřejné a bude zahájeno po uplynutí lhůty pro podání nabídek. </w:t>
      </w:r>
    </w:p>
    <w:p w14:paraId="4D0E0D5E" w14:textId="393A40B4" w:rsidR="00646BC3" w:rsidRDefault="00646BC3" w:rsidP="00646BC3">
      <w:pPr>
        <w:pStyle w:val="Nadpis2"/>
      </w:pPr>
      <w:r w:rsidRPr="00646BC3">
        <w:t>Informace a údaje uvedené v jednotlivých částech této zadávací dokumentace a v přílohách zadávací dokumentace vymezují závazné požadavky zadavatele na plnění veřejné zakázky. Tyto požadavky je dodavatel povinen plně a bezvýhradně respektovat při zpracování své nabídky. Neakceptování požadavků zadavatele uvedených v této zadávací dokumentaci může být považováno za nesplnění zadávacích podmínek s následkem vyloučení dodavatele ze zadávacího řízení.</w:t>
      </w:r>
    </w:p>
    <w:p w14:paraId="229A73DB" w14:textId="585842F8" w:rsidR="00477261" w:rsidRPr="001549EC" w:rsidRDefault="00477261" w:rsidP="00646BC3">
      <w:pPr>
        <w:pStyle w:val="Nadpis2"/>
      </w:pPr>
      <w:r w:rsidRPr="001549EC">
        <w:t>Pokud bude účastník uvádět v nabídce jedny a tytéž údaje na několika místech, pak je pro zadavatele v případě jejich rozporů rozh</w:t>
      </w:r>
      <w:r w:rsidR="00CA3244" w:rsidRPr="001549EC">
        <w:t>odující a platný údaj uvedený ve smlouvě</w:t>
      </w:r>
      <w:r w:rsidRPr="001549EC">
        <w:t xml:space="preserve"> či její příloze.</w:t>
      </w:r>
    </w:p>
    <w:p w14:paraId="4AEC5349" w14:textId="77777777" w:rsidR="00E05125" w:rsidRDefault="00477261" w:rsidP="00F50458">
      <w:pPr>
        <w:pStyle w:val="Nadpis2"/>
      </w:pPr>
      <w:r w:rsidRPr="001549EC">
        <w:t>Podává-li nabídku více osob společně, zejména jako společnost ve smyslu ustanovení § 2716 a násl. zákona č. 89/2012 Sb., občanský zákoník, případně jako jiné sdružení či seskupení dodavatelů (dále v textu této zadávací dokumentace pro dodavatele je takové seskupení dodavatelů obecně označováno zejména jako „společnost“ dodavatelů a člen takového seskupení jako „společník“), musí předložit informace o takové společnosti.</w:t>
      </w:r>
    </w:p>
    <w:p w14:paraId="1CD400C6" w14:textId="0C427B9A" w:rsidR="00E05125" w:rsidRDefault="00477261" w:rsidP="00F50458">
      <w:pPr>
        <w:pStyle w:val="Nadpis2"/>
      </w:pPr>
      <w:r w:rsidRPr="00F10716">
        <w:t>Podává-li nabídku více osob</w:t>
      </w:r>
      <w:r w:rsidR="00B15FCA" w:rsidRPr="00F10716">
        <w:t xml:space="preserve"> společně, jsou povinni doložit v </w:t>
      </w:r>
      <w:r w:rsidRPr="00F10716">
        <w:t>nabídce, že všichni tito dodavatelé budou vůči zadavateli a jakýmkoliv třetím osobám z jakýchkoliv závazků vzniklých v souvislosti s</w:t>
      </w:r>
      <w:r w:rsidR="00281876" w:rsidRPr="00F10716">
        <w:t>e zadávacím řízením</w:t>
      </w:r>
      <w:r w:rsidRPr="00F10716">
        <w:t xml:space="preserve">, plněním předmětu </w:t>
      </w:r>
      <w:r w:rsidR="00447797">
        <w:t>veřejné zakázky</w:t>
      </w:r>
      <w:r w:rsidRPr="00F10716">
        <w:t xml:space="preserve"> či vzniklých v důsledku prodlení či jiného porušení smluvních nebo jiných povinností v souvislosti s plněním předmětu </w:t>
      </w:r>
      <w:r w:rsidR="00447797">
        <w:t>veřejné zakázky</w:t>
      </w:r>
      <w:r w:rsidRPr="00F10716">
        <w:t xml:space="preserve">, zavázáni společně a nerozdílně. Účastník </w:t>
      </w:r>
      <w:r w:rsidR="00087EA0" w:rsidRPr="00F10716">
        <w:t xml:space="preserve">zadávacího </w:t>
      </w:r>
      <w:r w:rsidRPr="00F10716">
        <w:t>řízení tento požadavek doloží kopií smlouvy či jiného dokumentu, ze kterého bude daná skutečnost vyplývat.</w:t>
      </w:r>
    </w:p>
    <w:p w14:paraId="4FE82456" w14:textId="1FB2840F" w:rsidR="00821EB9" w:rsidRPr="00E05125" w:rsidRDefault="00477261" w:rsidP="00F50458">
      <w:pPr>
        <w:pStyle w:val="Nadpis2"/>
      </w:pPr>
      <w:r w:rsidRPr="00F10716">
        <w:t xml:space="preserve">Jeden ze společníků bude ve výše uvedené smlouvě či jiném dokumentu uveden jako vedoucí společník. Komunikace mezi zadavatelem a společníky, kteří podávají společnou nabídku, potom bude v takovém případě probíhat prostřednictvím </w:t>
      </w:r>
      <w:r w:rsidRPr="00F10716">
        <w:lastRenderedPageBreak/>
        <w:t xml:space="preserve">tohoto vedoucího společníka. Veškerá právní jednání budou považována za doručená, resp. odeslaná, okamžikem doručení, resp. odeslání, vedoucímu společníkovi. Vedoucí společník musí být oprávněn ve věcech </w:t>
      </w:r>
      <w:r w:rsidR="00320A05">
        <w:t xml:space="preserve">smlouvy na veřejnou zakázku </w:t>
      </w:r>
      <w:r w:rsidRPr="00F10716">
        <w:t xml:space="preserve">každého ze společníků, jakož i všechny společníky společně, a je rovněž oprávněn za ně přijímat pokyny a platby od zadavatele (Objednatele ve smyslu </w:t>
      </w:r>
      <w:r w:rsidR="00320A05">
        <w:t>smlouvy na veřejnou zakázku</w:t>
      </w:r>
      <w:r w:rsidRPr="00F10716">
        <w:t xml:space="preserve">). </w:t>
      </w:r>
      <w:r w:rsidRPr="0075622F">
        <w:t>Vystavovat daňové doklady-faktury je oprávněn pouze vedoucí společník.</w:t>
      </w:r>
      <w:r w:rsidRPr="00F10716">
        <w:t xml:space="preserve">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w:t>
      </w:r>
      <w:r w:rsidR="00320A05">
        <w:t xml:space="preserve">ouvy na veřejnou zakázku. </w:t>
      </w:r>
      <w:r w:rsidRPr="00F10716">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20109E1" w14:textId="77777777" w:rsidR="00A037FA" w:rsidRPr="00A037FA" w:rsidRDefault="00A037FA" w:rsidP="00A037FA">
      <w:pPr>
        <w:pStyle w:val="Nadpis1"/>
        <w:keepNext w:val="0"/>
        <w:keepLines w:val="0"/>
      </w:pPr>
      <w:r w:rsidRPr="00A037FA">
        <w:t>Registr smluv</w:t>
      </w:r>
    </w:p>
    <w:p w14:paraId="5CE4DA9F" w14:textId="77777777" w:rsidR="00A037FA" w:rsidRPr="00A037FA" w:rsidRDefault="00A037FA" w:rsidP="00646BC3">
      <w:pPr>
        <w:pStyle w:val="Nadpis2"/>
      </w:pPr>
      <w:r w:rsidRPr="00A037FA">
        <w:t>Zadavatel je povinen uveřejňovat uzavřené smlouvy v registru smluv na základě ustanovení zákona č. 340/2015 Sb., o zvláštních podmínkách účinnosti některých smluv, uveřejňování těchto smluv a o registru smluv (dále jen „</w:t>
      </w:r>
      <w:r w:rsidRPr="00A037FA">
        <w:rPr>
          <w:rFonts w:cs="Verdana,BoldItalic"/>
          <w:b/>
          <w:bCs/>
          <w:i/>
        </w:rPr>
        <w:t>ZRS</w:t>
      </w:r>
      <w:r w:rsidRPr="00A037FA">
        <w:t>“).</w:t>
      </w:r>
    </w:p>
    <w:p w14:paraId="52A3F674" w14:textId="77777777" w:rsidR="00A037FA" w:rsidRPr="00A037FA" w:rsidRDefault="00A037FA" w:rsidP="00646BC3">
      <w:pPr>
        <w:pStyle w:val="Nadpis2"/>
      </w:pPr>
      <w:bookmarkStart w:id="9" w:name="_Ref44326714"/>
      <w:r w:rsidRPr="00A037FA">
        <w:t xml:space="preserve">Zadavatel </w:t>
      </w:r>
      <w:bookmarkEnd w:id="9"/>
      <w:r w:rsidRPr="00A037FA">
        <w:t>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p>
    <w:p w14:paraId="7732A12B" w14:textId="6D2846C2" w:rsidR="00A037FA" w:rsidRPr="00A037FA" w:rsidRDefault="00A037FA" w:rsidP="00646BC3">
      <w:pPr>
        <w:pStyle w:val="Nadpis2"/>
      </w:pPr>
      <w:bookmarkStart w:id="10" w:name="_Ref44326735"/>
      <w:r w:rsidRPr="00A037FA">
        <w:t xml:space="preserve">Pokud </w:t>
      </w:r>
      <w:bookmarkEnd w:id="10"/>
      <w:r w:rsidRPr="00A037FA">
        <w:t xml:space="preserve">účastník ve smlouvě, která bude nedílnou součástí nabídky, označí její části nebo určité informace dle předchozího odstavce tohoto čl. </w:t>
      </w:r>
      <w:r w:rsidR="001F22D3">
        <w:t>1</w:t>
      </w:r>
      <w:r w:rsidR="00E05125">
        <w:t>3</w:t>
      </w:r>
      <w:r w:rsidRPr="00A037FA">
        <w:t xml:space="preserve"> této </w:t>
      </w:r>
      <w:r w:rsidR="001F22D3">
        <w:t>zadávací dokumentace</w:t>
      </w:r>
      <w:r w:rsidRPr="00A037FA">
        <w:t xml:space="preserve">, je účastník povinen předložit Čestné prohlášení. Vzor tohoto prohlášení je zpracován </w:t>
      </w:r>
      <w:r w:rsidRPr="00297116">
        <w:t xml:space="preserve">jako </w:t>
      </w:r>
      <w:r w:rsidRPr="0075622F">
        <w:t>příloha č. 2</w:t>
      </w:r>
      <w:r w:rsidRPr="00297116">
        <w:t xml:space="preserve"> této</w:t>
      </w:r>
      <w:r w:rsidRPr="00A037FA">
        <w:t xml:space="preserve"> </w:t>
      </w:r>
      <w:r w:rsidR="00CA55E7">
        <w:t>zadávací dokumentace</w:t>
      </w:r>
      <w:r w:rsidRPr="00A037FA">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Pr="00A037FA">
        <w:rPr>
          <w:rFonts w:cs="Verdana,BoldItalic"/>
          <w:b/>
          <w:bCs/>
          <w:i/>
        </w:rPr>
        <w:t>obchodní tajemství</w:t>
      </w:r>
      <w:r w:rsidRPr="00A037FA">
        <w:t>“) a pro případ, že by takto označené údaje a skutečnosti nenaplňovaly znaky obchodního tajemství a takto znečitelněná smlouva by byla v důsledku toho uveřejněna způsobem odporujícímu ZRS, nese účastník veškerou odpovědnost.</w:t>
      </w:r>
    </w:p>
    <w:p w14:paraId="6C5DF770" w14:textId="27B3EE27" w:rsidR="00A037FA" w:rsidRPr="00A037FA" w:rsidRDefault="00A037FA" w:rsidP="00646BC3">
      <w:pPr>
        <w:pStyle w:val="Nadpis2"/>
      </w:pPr>
      <w:r w:rsidRPr="00A037FA">
        <w:t>Výše uvedené čestné prohlášení účastník nedokládá v případě, že neoznačí ve smlouvě, která bude nedílnou součástí nabídky, žádné takové časti nebo informace ve smyslu předchozích odstavců tohoto čl. 1</w:t>
      </w:r>
      <w:r w:rsidR="00E05125">
        <w:t>3</w:t>
      </w:r>
      <w:r w:rsidRPr="00A037FA">
        <w:t xml:space="preserve"> této </w:t>
      </w:r>
      <w:r w:rsidR="00DB3EFB" w:rsidRPr="00DB3EFB">
        <w:t>zadávací dokumentace</w:t>
      </w:r>
      <w:r w:rsidRPr="00A037FA">
        <w:t>.</w:t>
      </w:r>
    </w:p>
    <w:p w14:paraId="07366B5B" w14:textId="77777777" w:rsidR="00A037FA" w:rsidRDefault="00A037FA" w:rsidP="00646BC3">
      <w:pPr>
        <w:pStyle w:val="Nadpis2"/>
      </w:pPr>
      <w:r w:rsidRPr="00A037FA">
        <w:t>Účastník odpovídá za správnost a pravdivost veškerých údajů a skutečností, které jím budou uvedeny ve výše uvedeném čestném prohlášení. Zadavatel nebude přezkoumávat jejich pravdivost.</w:t>
      </w:r>
    </w:p>
    <w:p w14:paraId="0FA903BC" w14:textId="02C2AA64" w:rsidR="00A037FA" w:rsidRPr="00A037FA" w:rsidRDefault="00A037FA" w:rsidP="00646BC3">
      <w:pPr>
        <w:pStyle w:val="Nadpis2"/>
      </w:pPr>
      <w:r w:rsidRPr="00A037FA">
        <w:lastRenderedPageBreak/>
        <w:t>Výjimkou z povinnosti uveřejnění smlouvy v registru smluv jsou důvody uvedené v ustanovení § 3 odst. 2 ZRS. Je-li účastník subjektem uvedeným v ustanovení §</w:t>
      </w:r>
      <w:r w:rsidR="006038B8">
        <w:t> </w:t>
      </w:r>
      <w:r w:rsidRPr="00A037FA">
        <w:t>3 odst. 2 písm. k)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k) ZRS (případně jiná výjimka dle ustanovení § 3 odst. 2 ZRS dle jiného písmene, než je zde uvedeno) a zadavatel neodpovídá za škodu nebo jakoukoliv jinou újmu tímto postupem vzniklou.</w:t>
      </w:r>
    </w:p>
    <w:p w14:paraId="7F88DD5F" w14:textId="3FBDB4DB" w:rsidR="005D636E" w:rsidRPr="001549EC" w:rsidRDefault="00B43152" w:rsidP="00725912">
      <w:pPr>
        <w:pStyle w:val="Nadpis1"/>
        <w:keepNext w:val="0"/>
        <w:keepLines w:val="0"/>
      </w:pPr>
      <w:r w:rsidRPr="00B43152">
        <w:t>Poddodavatel</w:t>
      </w:r>
      <w:r>
        <w:t>é</w:t>
      </w:r>
    </w:p>
    <w:p w14:paraId="40A17588" w14:textId="68F0926B" w:rsidR="005D636E" w:rsidRPr="00560CFE" w:rsidRDefault="005D636E" w:rsidP="00BE4D95">
      <w:pPr>
        <w:pStyle w:val="Nadpis2"/>
        <w:spacing w:before="120"/>
        <w:rPr>
          <w:u w:val="single"/>
        </w:rPr>
      </w:pPr>
      <w:r w:rsidRPr="00560CFE">
        <w:rPr>
          <w:u w:val="single"/>
        </w:rPr>
        <w:t>Využití poddodavatele</w:t>
      </w:r>
    </w:p>
    <w:p w14:paraId="0D26AB2A" w14:textId="27EFDFEE" w:rsidR="00822CB2" w:rsidRPr="001549EC" w:rsidRDefault="00822CB2" w:rsidP="00560CFE">
      <w:pPr>
        <w:pStyle w:val="Nadpis3"/>
        <w:numPr>
          <w:ilvl w:val="0"/>
          <w:numId w:val="0"/>
        </w:numPr>
        <w:spacing w:before="120"/>
        <w:ind w:left="1276"/>
      </w:pPr>
      <w:r w:rsidRPr="001549EC">
        <w:t xml:space="preserve">Zadavatel požaduje, aby účastník zadávacího řízení </w:t>
      </w:r>
      <w:r w:rsidR="003A4E92" w:rsidRPr="001549EC">
        <w:t xml:space="preserve">v </w:t>
      </w:r>
      <w:r w:rsidRPr="001549EC">
        <w:t>nabídce:</w:t>
      </w:r>
    </w:p>
    <w:p w14:paraId="50F193DD" w14:textId="628CC13C" w:rsidR="00D17D41" w:rsidRDefault="00822CB2" w:rsidP="00C93D25">
      <w:pPr>
        <w:pStyle w:val="Odstavecseseznamem"/>
        <w:numPr>
          <w:ilvl w:val="0"/>
          <w:numId w:val="11"/>
        </w:numPr>
        <w:suppressAutoHyphens/>
        <w:spacing w:line="264" w:lineRule="auto"/>
        <w:ind w:left="2127" w:hanging="426"/>
        <w:jc w:val="both"/>
        <w:rPr>
          <w:rFonts w:eastAsia="Verdana" w:cs="Times New Roman"/>
          <w:szCs w:val="18"/>
        </w:rPr>
      </w:pPr>
      <w:r w:rsidRPr="00D17D41">
        <w:rPr>
          <w:rFonts w:eastAsia="Verdana" w:cs="Times New Roman"/>
          <w:szCs w:val="18"/>
        </w:rPr>
        <w:t xml:space="preserve">určil části </w:t>
      </w:r>
      <w:r w:rsidR="00B43152">
        <w:rPr>
          <w:rFonts w:eastAsia="Verdana" w:cs="Times New Roman"/>
          <w:szCs w:val="18"/>
        </w:rPr>
        <w:t>veřejné zakázky</w:t>
      </w:r>
      <w:r w:rsidRPr="00D17D41">
        <w:rPr>
          <w:rFonts w:eastAsia="Verdana" w:cs="Times New Roman"/>
          <w:szCs w:val="18"/>
        </w:rPr>
        <w:t>, které hodlá plnit prostřednictvím poddodavatelů, a</w:t>
      </w:r>
    </w:p>
    <w:p w14:paraId="39838E45" w14:textId="414A8DBC" w:rsidR="00822CB2" w:rsidRPr="00D17D41" w:rsidRDefault="00822CB2" w:rsidP="00C93D25">
      <w:pPr>
        <w:pStyle w:val="Odstavecseseznamem"/>
        <w:numPr>
          <w:ilvl w:val="0"/>
          <w:numId w:val="11"/>
        </w:numPr>
        <w:suppressAutoHyphens/>
        <w:spacing w:line="264" w:lineRule="auto"/>
        <w:ind w:left="2127" w:hanging="426"/>
        <w:jc w:val="both"/>
        <w:rPr>
          <w:rFonts w:eastAsia="Verdana" w:cs="Times New Roman"/>
          <w:szCs w:val="18"/>
        </w:rPr>
      </w:pPr>
      <w:r w:rsidRPr="00D17D41">
        <w:rPr>
          <w:rFonts w:eastAsia="Verdana" w:cs="Times New Roman"/>
          <w:szCs w:val="18"/>
        </w:rPr>
        <w:t xml:space="preserve">předložil seznam poddodavatelů, pokud jsou dodavateli známi a uvedl, kterou část </w:t>
      </w:r>
      <w:r w:rsidR="00C2619E" w:rsidRPr="00C2619E">
        <w:rPr>
          <w:rFonts w:eastAsia="Verdana" w:cs="Times New Roman"/>
          <w:szCs w:val="18"/>
        </w:rPr>
        <w:t xml:space="preserve">veřejné zakázky </w:t>
      </w:r>
      <w:r w:rsidRPr="00D17D41">
        <w:rPr>
          <w:rFonts w:eastAsia="Verdana" w:cs="Times New Roman"/>
          <w:szCs w:val="18"/>
        </w:rPr>
        <w:t>bude každý z poddodavatelů plnit.</w:t>
      </w:r>
    </w:p>
    <w:p w14:paraId="42698603" w14:textId="1338A5D6" w:rsidR="005D636E" w:rsidRPr="001549EC" w:rsidRDefault="00822CB2" w:rsidP="00F50458">
      <w:pPr>
        <w:pStyle w:val="Nadpis2"/>
        <w:spacing w:before="120"/>
      </w:pPr>
      <w:r w:rsidRPr="001549EC">
        <w:t>Vybraný dodavatel je povinen předložit zadavateli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w:t>
      </w:r>
      <w:r w:rsidR="00C2619E" w:rsidRPr="00C2619E">
        <w:t xml:space="preserve"> to před zahájením plnění veřejné zakázky poddodavatelem</w:t>
      </w:r>
      <w:r w:rsidR="00281876" w:rsidRPr="001549EC">
        <w:t>.</w:t>
      </w:r>
    </w:p>
    <w:p w14:paraId="247DA896" w14:textId="696E2713" w:rsidR="00F50458" w:rsidRDefault="00F50458" w:rsidP="00725912">
      <w:pPr>
        <w:pStyle w:val="Nadpis1"/>
        <w:keepNext w:val="0"/>
        <w:keepLines w:val="0"/>
      </w:pPr>
      <w:r>
        <w:t>Vysvětlení, změna nebo doplnění zadávací dokum</w:t>
      </w:r>
      <w:r w:rsidR="000836BF">
        <w:t>en</w:t>
      </w:r>
      <w:r>
        <w:t>tace</w:t>
      </w:r>
    </w:p>
    <w:p w14:paraId="1762C361" w14:textId="77777777" w:rsidR="00570061" w:rsidRDefault="00570061" w:rsidP="00570061">
      <w:pPr>
        <w:pStyle w:val="Nadpis2"/>
      </w:pPr>
      <w:bookmarkStart w:id="11" w:name="_Hlk141538079"/>
      <w:bookmarkStart w:id="12" w:name="_Toc208292169"/>
      <w:r>
        <w:t>Zadávací dokumentací se rozumí veškeré písemné dokumenty obsahující zadávací podmínky, sdělované nebo zpřístupňované účastníkům zadávacího řízení při zahájení zadávacího řízení, včetně změn či doplnění zadávací dokumentace podle § 99 ZZVZ, včetně formulářů podle § 212 ZZVZ a výzev uvedených v příloze č. 6 ZZVZ.</w:t>
      </w:r>
    </w:p>
    <w:p w14:paraId="271243A8" w14:textId="203A2C5A" w:rsidR="00570061" w:rsidRDefault="00570061" w:rsidP="00570061">
      <w:pPr>
        <w:pStyle w:val="Nadpis2"/>
      </w:pPr>
      <w:r>
        <w:t xml:space="preserve">V souladu s § 96 odst. 1 a 2 ZZVZ je zadávací dokumentace zveřejněna na profilu Zadavatele na internetové adrese: </w:t>
      </w:r>
      <w:hyperlink r:id="rId15" w:history="1">
        <w:r w:rsidRPr="00477810">
          <w:rPr>
            <w:rStyle w:val="Hypertextovodkaz"/>
          </w:rPr>
          <w:t>https://zakazky.spravazeleznic.cz/</w:t>
        </w:r>
      </w:hyperlink>
      <w:r>
        <w:t>. Tamtéž budou uveřejňovány i vysvětlení, změny nebo doplnění zadávací dokumentace této veřejné zakázky.</w:t>
      </w:r>
    </w:p>
    <w:p w14:paraId="24D21090" w14:textId="103A4914" w:rsidR="00F50458" w:rsidRPr="00D574D3" w:rsidRDefault="00F50458" w:rsidP="00F50458">
      <w:pPr>
        <w:pStyle w:val="Nadpis2"/>
      </w:pPr>
      <w:r w:rsidRPr="00D574D3">
        <w:t xml:space="preserve">Dodavatelé jsou oprávněni po zadavateli písemně požadovat vysvětlení zadávací dokumentace, a to v souladu s ust. § 98 ZZVZ. </w:t>
      </w:r>
    </w:p>
    <w:p w14:paraId="29D22760" w14:textId="6EA65D65" w:rsidR="00F50458" w:rsidRPr="00D574D3" w:rsidRDefault="00F50458" w:rsidP="00F50458">
      <w:pPr>
        <w:pStyle w:val="Nadpis2"/>
      </w:pPr>
      <w:r w:rsidRPr="00D574D3">
        <w:t xml:space="preserve">Zadavatel upozorňuje, že s využitím ust. § 242 odst. 5 ZZVZ stanovil, že </w:t>
      </w:r>
      <w:r w:rsidRPr="00F50458">
        <w:rPr>
          <w:b/>
          <w:bCs/>
        </w:rPr>
        <w:t>námitky proti zadávací dokumentaci je možno podat nejpozději 2 dny před koncem lhůty pro podání nabídek</w:t>
      </w:r>
      <w:r w:rsidRPr="00D574D3">
        <w:t>. Tento termín je pak rozhodný také pro běh lhůt dle §</w:t>
      </w:r>
      <w:r>
        <w:t> </w:t>
      </w:r>
      <w:r w:rsidRPr="00D574D3">
        <w:t>98 odst. 1 ZZVZ.</w:t>
      </w:r>
    </w:p>
    <w:p w14:paraId="7E3D5727" w14:textId="1585035C" w:rsidR="00F50458" w:rsidRPr="00D574D3" w:rsidRDefault="00F50458" w:rsidP="00F50458">
      <w:pPr>
        <w:pStyle w:val="Nadpis2"/>
      </w:pPr>
      <w:r w:rsidRPr="00D574D3">
        <w:t>Žádost o vysvětlení zadávací dokumentace musí být doručena nejpozději 8</w:t>
      </w:r>
      <w:r w:rsidR="0031389E">
        <w:t> </w:t>
      </w:r>
      <w:r w:rsidRPr="00D574D3">
        <w:t xml:space="preserve">pracovních dnů před uplynutím lhůty pro podání námitek proti zadávací dokumentaci stanovené dle § 242 odst. 5 ZZVZ. Na základě později doručené </w:t>
      </w:r>
      <w:r w:rsidRPr="00D574D3">
        <w:lastRenderedPageBreak/>
        <w:t>žádosti již není zadavatel dle ust. § 98 odst. 3 ZZVZ povinen vysvětlení poskytnout. Pokud zadavatel vysvětlení na opožděně podanou žádost poskytne, není povinen dodržet lhůty pro poskytnutí vysvětlení stanovené zákonem.</w:t>
      </w:r>
    </w:p>
    <w:p w14:paraId="124565BD" w14:textId="77777777" w:rsidR="00F50458" w:rsidRPr="00E04259" w:rsidRDefault="00F50458" w:rsidP="00F50458">
      <w:pPr>
        <w:pStyle w:val="Nadpis2"/>
      </w:pPr>
      <w:r w:rsidRPr="00D574D3">
        <w:t>Vysvětlení zadávací dokumentace může provést zadavatel také z vlastního podnětu v souladu s ust. § 98 odst. 1 ZZVZ.</w:t>
      </w:r>
      <w:r w:rsidRPr="00DA17F8">
        <w:t xml:space="preserve"> </w:t>
      </w:r>
      <w:bookmarkEnd w:id="11"/>
      <w:bookmarkEnd w:id="12"/>
    </w:p>
    <w:p w14:paraId="6AF6A3AC" w14:textId="53867065" w:rsidR="00F50458" w:rsidRPr="00F50458" w:rsidRDefault="00F50458" w:rsidP="00F50458">
      <w:pPr>
        <w:pStyle w:val="Nadpis2"/>
      </w:pPr>
      <w:r w:rsidRPr="00A97435">
        <w:t>Žádosti o vysvětlení zadávací dokumentace mohou dodavatelé v písemné formě zasílat prostřednictvím elektronického nástroje (</w:t>
      </w:r>
      <w:r w:rsidR="005163DE" w:rsidRPr="005163DE">
        <w:t>E-ZAK</w:t>
      </w:r>
      <w:r w:rsidRPr="00A97435">
        <w:t>) či jiným způsobem v souladu se ZZVZ. Zadavatel ve lhůtě dle ZZVZ uveřejní vysvětlení a případné související dokumenty, vč. přesného znění žádosti, na profilu zadavatele.</w:t>
      </w:r>
    </w:p>
    <w:p w14:paraId="4DD08152" w14:textId="0E3FA037" w:rsidR="00831714" w:rsidRDefault="00831714" w:rsidP="00831714">
      <w:pPr>
        <w:pStyle w:val="Nadpis1"/>
        <w:keepNext w:val="0"/>
        <w:keepLines w:val="0"/>
      </w:pPr>
      <w:r>
        <w:t>Podmínky pro uzavření smlouvy</w:t>
      </w:r>
    </w:p>
    <w:p w14:paraId="682F9D63" w14:textId="080FA11D" w:rsidR="00831714" w:rsidRPr="00831714" w:rsidRDefault="00831714" w:rsidP="00831714">
      <w:pPr>
        <w:pStyle w:val="Nadpis2"/>
      </w:pPr>
      <w:r w:rsidRPr="00831714">
        <w:t>Zadavatel vyzve vybraného dodavatele k poskytnutí součinnosti před uzavřením Smlouvy. V případě neposkytnutí této řádné součinnosti (nepředložení některého z požadovaných dokumentů vůbec nebo v náležité podobě) zadavatel vyloučí vybraného dodavatele z účasti v zadávacím řízení a zadavatel může v souladu s §</w:t>
      </w:r>
      <w:r w:rsidR="00E13F46">
        <w:t> </w:t>
      </w:r>
      <w:r w:rsidRPr="00831714">
        <w:t>125 odst. 1 zákona uzavřít Smlouvu s účastníkem zadávacího řízení, který se umístil jako další v pořadí.</w:t>
      </w:r>
    </w:p>
    <w:p w14:paraId="05B5C878" w14:textId="38A7550E" w:rsidR="00831714" w:rsidRPr="00831714" w:rsidRDefault="00831714" w:rsidP="00831714">
      <w:pPr>
        <w:pStyle w:val="Nadpis2"/>
      </w:pPr>
      <w:r w:rsidRPr="00831714">
        <w:t xml:space="preserve">Vybraný dodavatel je v souladu s ust. § 104 odst. 1 písm. e) ZZVZ povinen zaslat zadavateli návrh Smlouvy včetně všech příloh </w:t>
      </w:r>
      <w:r w:rsidR="005E0ACF">
        <w:t>[</w:t>
      </w:r>
      <w:r w:rsidRPr="00831714">
        <w:t>vyjma příloh, které nepodléhají uveřejňovací povinnosti ve smyslu § 3 odst. 2 písm. b) zákona č. 340/2015 Sb., o zvláštních podmínkách účinnosti některých smluv, uveřejňování těchto smluv a o registru smluv, ve znění pozdějších předpisů (dále jen „</w:t>
      </w:r>
      <w:r w:rsidRPr="00831714">
        <w:rPr>
          <w:b/>
          <w:bCs/>
        </w:rPr>
        <w:t>zákon o registru smluv</w:t>
      </w:r>
      <w:r w:rsidRPr="00831714">
        <w:t>“)</w:t>
      </w:r>
      <w:r w:rsidR="005E0ACF">
        <w:t>]</w:t>
      </w:r>
      <w:r w:rsidRPr="00831714">
        <w:t xml:space="preserve"> elektronicky ve strojově čitelném formátu (např. MS WORD) s anonymizovanými informacemi, které dle ust. § 3 odst. 1 zákona o registru smluv nebudou uveřejněny. Pokud tak vybraný dodavatel neučiní, považuje zadavatel tuto skutečnost za neposkytnutí součinnosti k uzavření Smlouvy a v souladu s ust. § 122 odst. 7 ZZVZ jej vyloučí.</w:t>
      </w:r>
    </w:p>
    <w:p w14:paraId="29D84D7B" w14:textId="77777777" w:rsidR="00831714" w:rsidRPr="00831714" w:rsidRDefault="00831714" w:rsidP="00831714">
      <w:pPr>
        <w:pStyle w:val="Nadpis2"/>
      </w:pPr>
      <w:r w:rsidRPr="00831714">
        <w:t xml:space="preserve">V souladu s § 105 odst. 3 ZZVZ je vybraný dodavatel povinen nejpozději do 10 pracovních dnů od doručení oznámení o výběru dodavatele předložit zadavateli identifikační údaje poddodavatelů, o kterých již ví, že je využije při realizaci veřejné zakázky na služby, které mají být poskytnuty v zařízení pod přímým dohledem zadavatele. Poddodavatelé, kteří nebyli identifikováni podle věty první a kteří se následně zapojí do plnění veřejné zakázky, musí být identifikováni, a to před zahájením plnění veřejné zakázky poddodavatelem. </w:t>
      </w:r>
    </w:p>
    <w:p w14:paraId="6A212FC3" w14:textId="77777777" w:rsidR="00831714" w:rsidRPr="00831714" w:rsidRDefault="00831714" w:rsidP="00831714">
      <w:pPr>
        <w:pStyle w:val="Nadpis2"/>
      </w:pPr>
      <w:r w:rsidRPr="00831714">
        <w:t xml:space="preserve">Zadavatel u vybraného dodavatele, je-li českou právnickou osobou, zjistí údaje o jeho skutečném majiteli podle zákona upravujícího evidenci skutečných majitelů z evidence skutečných majitelů podle téhož zákona. </w:t>
      </w:r>
    </w:p>
    <w:p w14:paraId="16324201" w14:textId="77777777" w:rsidR="00831714" w:rsidRPr="00831714" w:rsidRDefault="00831714" w:rsidP="00831714">
      <w:pPr>
        <w:pStyle w:val="Nadpis2"/>
      </w:pPr>
      <w:r w:rsidRPr="00831714">
        <w:t>Vybraného dodavatele, je-li zahraniční právnickou osobou, zadavatel vyzve k předložení výpisu ze zahraniční evidence obdobné evidenci skutečných majitelů nebo, není-li takové evidence, pak zadavatel takového vybraného dodavatele vyzve:</w:t>
      </w:r>
    </w:p>
    <w:p w14:paraId="211AE500" w14:textId="77777777" w:rsidR="00831714" w:rsidRPr="00831714" w:rsidRDefault="00831714" w:rsidP="00831714">
      <w:pPr>
        <w:numPr>
          <w:ilvl w:val="0"/>
          <w:numId w:val="33"/>
        </w:numPr>
        <w:shd w:val="clear" w:color="auto" w:fill="FFFFFF"/>
        <w:spacing w:before="0" w:after="0" w:line="288" w:lineRule="auto"/>
        <w:ind w:left="1701" w:hanging="425"/>
        <w:jc w:val="both"/>
        <w:rPr>
          <w:rFonts w:eastAsia="Times New Roman" w:cs="Times New Roman"/>
          <w:color w:val="000000"/>
          <w:szCs w:val="18"/>
          <w:lang w:eastAsia="cs-CZ"/>
        </w:rPr>
      </w:pPr>
      <w:r w:rsidRPr="00831714">
        <w:rPr>
          <w:rFonts w:eastAsia="Times New Roman" w:cs="Times New Roman"/>
          <w:color w:val="000000"/>
          <w:szCs w:val="18"/>
          <w:lang w:eastAsia="cs-CZ"/>
        </w:rPr>
        <w:lastRenderedPageBreak/>
        <w:t>ke sdělení identifikačních údajů všech osob, které jsou jeho skutečným majitelem, a</w:t>
      </w:r>
    </w:p>
    <w:p w14:paraId="1FCFF32A" w14:textId="77777777" w:rsidR="00831714" w:rsidRPr="00831714" w:rsidRDefault="00831714" w:rsidP="00831714">
      <w:pPr>
        <w:numPr>
          <w:ilvl w:val="0"/>
          <w:numId w:val="33"/>
        </w:numPr>
        <w:shd w:val="clear" w:color="auto" w:fill="FFFFFF"/>
        <w:spacing w:before="0" w:after="0" w:line="288" w:lineRule="auto"/>
        <w:ind w:left="1701" w:hanging="425"/>
        <w:jc w:val="both"/>
        <w:rPr>
          <w:rFonts w:eastAsia="Times New Roman" w:cs="Times New Roman"/>
          <w:color w:val="000000"/>
          <w:szCs w:val="18"/>
          <w:lang w:eastAsia="cs-CZ"/>
        </w:rPr>
      </w:pPr>
      <w:r w:rsidRPr="00831714">
        <w:rPr>
          <w:rFonts w:eastAsia="Times New Roman" w:cs="Times New Roman"/>
          <w:color w:val="000000"/>
          <w:szCs w:val="18"/>
          <w:lang w:eastAsia="cs-CZ"/>
        </w:rPr>
        <w:t>k předložení dokladů, z nichž vyplývá vztah všech osob podle písmene a) k dodavateli; těmito doklady jsou zejména</w:t>
      </w:r>
    </w:p>
    <w:p w14:paraId="07B054A6" w14:textId="77777777" w:rsidR="00831714" w:rsidRPr="00831714" w:rsidRDefault="00831714" w:rsidP="00831714">
      <w:pPr>
        <w:numPr>
          <w:ilvl w:val="0"/>
          <w:numId w:val="34"/>
        </w:numPr>
        <w:shd w:val="clear" w:color="auto" w:fill="FFFFFF"/>
        <w:spacing w:before="0" w:after="0" w:line="288" w:lineRule="auto"/>
        <w:ind w:left="2268" w:hanging="425"/>
        <w:jc w:val="both"/>
        <w:rPr>
          <w:rFonts w:eastAsia="Times New Roman" w:cs="Times New Roman"/>
          <w:color w:val="000000"/>
          <w:szCs w:val="18"/>
          <w:lang w:eastAsia="cs-CZ"/>
        </w:rPr>
      </w:pPr>
      <w:r w:rsidRPr="00831714">
        <w:rPr>
          <w:rFonts w:eastAsia="Times New Roman" w:cs="Times New Roman"/>
          <w:color w:val="000000"/>
          <w:szCs w:val="18"/>
          <w:lang w:eastAsia="cs-CZ"/>
        </w:rPr>
        <w:t>výpis ze zahraniční evidence obdobné veřejnému rejstříku,</w:t>
      </w:r>
    </w:p>
    <w:p w14:paraId="12AC153C" w14:textId="77777777" w:rsidR="00831714" w:rsidRPr="00831714" w:rsidRDefault="00831714" w:rsidP="00831714">
      <w:pPr>
        <w:numPr>
          <w:ilvl w:val="0"/>
          <w:numId w:val="34"/>
        </w:numPr>
        <w:shd w:val="clear" w:color="auto" w:fill="FFFFFF"/>
        <w:spacing w:before="0" w:after="0" w:line="288" w:lineRule="auto"/>
        <w:ind w:left="2268" w:hanging="425"/>
        <w:jc w:val="both"/>
        <w:rPr>
          <w:rFonts w:eastAsia="Times New Roman" w:cs="Times New Roman"/>
          <w:color w:val="000000"/>
          <w:szCs w:val="18"/>
          <w:lang w:eastAsia="cs-CZ"/>
        </w:rPr>
      </w:pPr>
      <w:r w:rsidRPr="00831714">
        <w:rPr>
          <w:rFonts w:eastAsia="Times New Roman" w:cs="Times New Roman"/>
          <w:color w:val="000000"/>
          <w:szCs w:val="18"/>
          <w:lang w:eastAsia="cs-CZ"/>
        </w:rPr>
        <w:t>seznam akcionářů,</w:t>
      </w:r>
    </w:p>
    <w:p w14:paraId="6EB769B9" w14:textId="77777777" w:rsidR="00831714" w:rsidRPr="00831714" w:rsidRDefault="00831714" w:rsidP="00831714">
      <w:pPr>
        <w:numPr>
          <w:ilvl w:val="0"/>
          <w:numId w:val="34"/>
        </w:numPr>
        <w:shd w:val="clear" w:color="auto" w:fill="FFFFFF"/>
        <w:spacing w:before="0" w:after="0" w:line="288" w:lineRule="auto"/>
        <w:ind w:left="2268" w:hanging="425"/>
        <w:jc w:val="both"/>
        <w:rPr>
          <w:rFonts w:eastAsia="Times New Roman" w:cs="Times New Roman"/>
          <w:color w:val="000000"/>
          <w:szCs w:val="18"/>
          <w:lang w:eastAsia="cs-CZ"/>
        </w:rPr>
      </w:pPr>
      <w:r w:rsidRPr="00831714">
        <w:rPr>
          <w:rFonts w:eastAsia="Times New Roman" w:cs="Times New Roman"/>
          <w:color w:val="000000"/>
          <w:szCs w:val="18"/>
          <w:lang w:eastAsia="cs-CZ"/>
        </w:rPr>
        <w:t>rozhodnutí statutárního orgánu o vyplacení podílu na zisku,</w:t>
      </w:r>
    </w:p>
    <w:p w14:paraId="0D5FD0A0" w14:textId="77777777" w:rsidR="00831714" w:rsidRPr="00831714" w:rsidRDefault="00831714" w:rsidP="00831714">
      <w:pPr>
        <w:numPr>
          <w:ilvl w:val="0"/>
          <w:numId w:val="34"/>
        </w:numPr>
        <w:shd w:val="clear" w:color="auto" w:fill="FFFFFF"/>
        <w:spacing w:before="0" w:after="0" w:line="288" w:lineRule="auto"/>
        <w:ind w:left="2268" w:hanging="425"/>
        <w:jc w:val="both"/>
        <w:rPr>
          <w:rFonts w:eastAsia="Times New Roman" w:cs="Times New Roman"/>
          <w:color w:val="000000"/>
          <w:szCs w:val="18"/>
          <w:lang w:eastAsia="cs-CZ"/>
        </w:rPr>
      </w:pPr>
      <w:r w:rsidRPr="00831714">
        <w:rPr>
          <w:rFonts w:eastAsia="Times New Roman" w:cs="Times New Roman"/>
          <w:color w:val="000000"/>
          <w:szCs w:val="18"/>
          <w:lang w:eastAsia="cs-CZ"/>
        </w:rPr>
        <w:t>společenská smlouva, zakladatelská listina nebo stanovy.</w:t>
      </w:r>
    </w:p>
    <w:p w14:paraId="2FD34BB0" w14:textId="77777777" w:rsidR="00831714" w:rsidRPr="00831714" w:rsidRDefault="00831714" w:rsidP="00831714">
      <w:pPr>
        <w:pStyle w:val="Nadpis2"/>
      </w:pPr>
      <w:r w:rsidRPr="00831714">
        <w:t>Vybraný dodavatel je povinen zadavateli dle ust. § 122 odst. 3 ZZVZ dále na písemnou výzvu předložit:</w:t>
      </w:r>
    </w:p>
    <w:p w14:paraId="580B764E" w14:textId="77777777" w:rsidR="00831714" w:rsidRPr="00831714" w:rsidRDefault="00831714" w:rsidP="00831714">
      <w:pPr>
        <w:numPr>
          <w:ilvl w:val="0"/>
          <w:numId w:val="34"/>
        </w:numPr>
        <w:spacing w:before="0" w:after="0" w:line="288" w:lineRule="auto"/>
        <w:ind w:left="1701" w:hanging="357"/>
        <w:jc w:val="both"/>
        <w:rPr>
          <w:rFonts w:eastAsia="Calibri" w:cs="Times New Roman"/>
          <w:szCs w:val="16"/>
        </w:rPr>
      </w:pPr>
      <w:r w:rsidRPr="00831714">
        <w:rPr>
          <w:rFonts w:eastAsia="Calibri" w:cs="Times New Roman"/>
          <w:szCs w:val="16"/>
        </w:rPr>
        <w:t>doklady o kvalifikaci dodavatele, pokud je zadavatel již nemá k dispozici;</w:t>
      </w:r>
    </w:p>
    <w:p w14:paraId="4AC6603B" w14:textId="77777777" w:rsidR="00831714" w:rsidRPr="00831714" w:rsidRDefault="00831714" w:rsidP="00831714">
      <w:pPr>
        <w:numPr>
          <w:ilvl w:val="0"/>
          <w:numId w:val="34"/>
        </w:numPr>
        <w:spacing w:before="0" w:after="0" w:line="288" w:lineRule="auto"/>
        <w:ind w:left="1701" w:hanging="357"/>
        <w:jc w:val="both"/>
        <w:rPr>
          <w:rFonts w:eastAsia="Calibri" w:cs="Times New Roman"/>
          <w:sz w:val="20"/>
          <w:szCs w:val="18"/>
        </w:rPr>
      </w:pPr>
      <w:r w:rsidRPr="00831714">
        <w:rPr>
          <w:rFonts w:eastAsia="Calibri" w:cs="Times New Roman"/>
          <w:szCs w:val="16"/>
        </w:rPr>
        <w:t>údaj o tom, zda je dodavatel malým nebo středním podnikem ve smyslu doporučení Komise 2003/361/ES.</w:t>
      </w:r>
    </w:p>
    <w:p w14:paraId="3766A5BB" w14:textId="77777777" w:rsidR="00831714" w:rsidRPr="00831714" w:rsidRDefault="00831714" w:rsidP="00831714">
      <w:pPr>
        <w:pStyle w:val="Nadpis2"/>
      </w:pPr>
      <w:r w:rsidRPr="00831714">
        <w:t>Zadavatel je dle ust. § 122 odst. 4 ZZVZ oprávněn požadovat předložení originálů nebo úředně ověřených kopií dokladů dle ust. § 122 odst. 3 ZZVZ.</w:t>
      </w:r>
    </w:p>
    <w:p w14:paraId="77F0B8CB" w14:textId="77777777" w:rsidR="00831714" w:rsidRPr="00831714" w:rsidRDefault="00831714" w:rsidP="00831714">
      <w:pPr>
        <w:pStyle w:val="Nadpis2"/>
      </w:pPr>
      <w:r w:rsidRPr="00831714">
        <w:t>Zadavatel vyloučí vybraného dodavatele, zjistí-li na základě výše uvedených dokladů, že byl ve střetu zájmů podle § 44 odst. 2 a 3 zákona.</w:t>
      </w:r>
    </w:p>
    <w:p w14:paraId="0DF69B2B" w14:textId="0C4C2A7E" w:rsidR="006E078F" w:rsidRDefault="006E078F" w:rsidP="00725912">
      <w:pPr>
        <w:pStyle w:val="Nadpis1"/>
        <w:keepNext w:val="0"/>
        <w:keepLines w:val="0"/>
      </w:pPr>
      <w:r>
        <w:t>Zadávací lhůta</w:t>
      </w:r>
      <w:r w:rsidR="009D12DB">
        <w:t xml:space="preserve"> a jistota</w:t>
      </w:r>
    </w:p>
    <w:p w14:paraId="0F9492DB" w14:textId="75D1F8D5" w:rsidR="006E078F" w:rsidRDefault="006E078F" w:rsidP="00B5599E">
      <w:pPr>
        <w:pStyle w:val="Nadpis2"/>
      </w:pPr>
      <w:r>
        <w:t xml:space="preserve">Zadavatel ve smyslu ust. § 40 ZZVZ stanovil </w:t>
      </w:r>
      <w:r w:rsidRPr="006E078F">
        <w:rPr>
          <w:b/>
          <w:bCs/>
        </w:rPr>
        <w:t xml:space="preserve">zadávací lhůtu v délce </w:t>
      </w:r>
      <w:r w:rsidR="00657502" w:rsidRPr="0075622F">
        <w:rPr>
          <w:b/>
          <w:bCs/>
        </w:rPr>
        <w:t>8</w:t>
      </w:r>
      <w:r w:rsidRPr="0075622F">
        <w:rPr>
          <w:b/>
          <w:bCs/>
        </w:rPr>
        <w:t xml:space="preserve"> měsíců</w:t>
      </w:r>
      <w:r w:rsidRPr="0075622F">
        <w:t>.</w:t>
      </w:r>
    </w:p>
    <w:p w14:paraId="18B19A3F" w14:textId="77777777" w:rsidR="00CC0B7F" w:rsidRDefault="006E078F" w:rsidP="00CC0B7F">
      <w:pPr>
        <w:pStyle w:val="Nadpis2"/>
      </w:pPr>
      <w:r>
        <w:t xml:space="preserve">Počátkem zadávací lhůty je konec lhůty pro podání nabídek. Zadávací lhůta se prodlužuje o dobu, ve které zadavatel nesmí uzavřít smlouvu podle ust. § 246 </w:t>
      </w:r>
      <w:r w:rsidR="00CA44BF">
        <w:t>ZZVZ</w:t>
      </w:r>
      <w:r>
        <w:t>.</w:t>
      </w:r>
    </w:p>
    <w:p w14:paraId="43DFA915" w14:textId="77777777" w:rsidR="00F71775" w:rsidRPr="0075622F" w:rsidRDefault="00CC0B7F" w:rsidP="00F71775">
      <w:pPr>
        <w:pStyle w:val="Nadpis2"/>
      </w:pPr>
      <w:r>
        <w:t xml:space="preserve">Zadavatel v souladu s § 41 ZZVZ požaduje, aby účastníci k zajištění plnění svých povinností vyplývajících z účasti v zadávacím řízení poskytli </w:t>
      </w:r>
      <w:r w:rsidRPr="0075622F">
        <w:rPr>
          <w:b/>
          <w:bCs/>
        </w:rPr>
        <w:t>jistotu ve výši</w:t>
      </w:r>
      <w:r>
        <w:t xml:space="preserve"> </w:t>
      </w:r>
      <w:r w:rsidRPr="0075622F">
        <w:rPr>
          <w:b/>
          <w:bCs/>
        </w:rPr>
        <w:t>1</w:t>
      </w:r>
      <w:r w:rsidR="00CE5574" w:rsidRPr="0075622F">
        <w:rPr>
          <w:b/>
          <w:bCs/>
        </w:rPr>
        <w:t> </w:t>
      </w:r>
      <w:r w:rsidRPr="0075622F">
        <w:rPr>
          <w:b/>
          <w:bCs/>
        </w:rPr>
        <w:t>000</w:t>
      </w:r>
      <w:r w:rsidR="00CE5574" w:rsidRPr="0075622F">
        <w:rPr>
          <w:b/>
          <w:bCs/>
        </w:rPr>
        <w:t> </w:t>
      </w:r>
      <w:r w:rsidRPr="0075622F">
        <w:rPr>
          <w:b/>
          <w:bCs/>
        </w:rPr>
        <w:t>000</w:t>
      </w:r>
      <w:r w:rsidR="00CE5574" w:rsidRPr="0075622F">
        <w:rPr>
          <w:b/>
          <w:bCs/>
        </w:rPr>
        <w:t> </w:t>
      </w:r>
      <w:r w:rsidRPr="0075622F">
        <w:rPr>
          <w:b/>
          <w:bCs/>
        </w:rPr>
        <w:t>Kč</w:t>
      </w:r>
      <w:r w:rsidRPr="0075622F">
        <w:t xml:space="preserve"> (slovy: jeden milion korun českých).</w:t>
      </w:r>
    </w:p>
    <w:p w14:paraId="35298CA2" w14:textId="77777777" w:rsidR="00F71775" w:rsidRDefault="00CC0B7F" w:rsidP="00F71775">
      <w:pPr>
        <w:pStyle w:val="Nadpis2"/>
      </w:pPr>
      <w:r>
        <w:t xml:space="preserve">Jistota bude poskytnuta v elektronické podobě formou: </w:t>
      </w:r>
    </w:p>
    <w:p w14:paraId="0DFC0CC2" w14:textId="77777777" w:rsidR="00F71775" w:rsidRDefault="00CC0B7F" w:rsidP="004B50DA">
      <w:pPr>
        <w:pStyle w:val="Nadpis3"/>
        <w:spacing w:before="120"/>
        <w:ind w:left="2127" w:hanging="851"/>
      </w:pPr>
      <w:r>
        <w:t xml:space="preserve">složení peněžní částky na účet zadavatele („peněžní jistota“), nebo </w:t>
      </w:r>
    </w:p>
    <w:p w14:paraId="7B913082" w14:textId="77777777" w:rsidR="00F71775" w:rsidRDefault="00CC0B7F" w:rsidP="004B50DA">
      <w:pPr>
        <w:pStyle w:val="Nadpis3"/>
        <w:spacing w:before="120"/>
        <w:ind w:left="2127" w:hanging="851"/>
      </w:pPr>
      <w:r>
        <w:t xml:space="preserve">bankovní záruky ve prospěch zadavatele, nebo </w:t>
      </w:r>
    </w:p>
    <w:p w14:paraId="1758B18E" w14:textId="022C60FB" w:rsidR="00CC0B7F" w:rsidRDefault="00CC0B7F" w:rsidP="004B50DA">
      <w:pPr>
        <w:pStyle w:val="Nadpis3"/>
        <w:spacing w:before="120"/>
        <w:ind w:left="2127" w:hanging="851"/>
      </w:pPr>
      <w:r>
        <w:t>pojištění záruky ve prospěch zadavatele.</w:t>
      </w:r>
    </w:p>
    <w:p w14:paraId="56A694F1" w14:textId="4E490A36" w:rsidR="00F71775" w:rsidRDefault="00CC0B7F" w:rsidP="00F71775">
      <w:pPr>
        <w:pStyle w:val="Nadpis2"/>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Pr="004C4FF0">
        <w:rPr>
          <w:b/>
          <w:bCs/>
        </w:rPr>
        <w:t>30007-22307011/0710</w:t>
      </w:r>
      <w:r>
        <w:t xml:space="preserve">, Česká národní banka se sídlem Na Příkopě 28, 115 03 Praha 1, variabilní symbol </w:t>
      </w:r>
      <w:r w:rsidR="004C4FF0" w:rsidRPr="004C4FF0">
        <w:rPr>
          <w:b/>
          <w:bCs/>
        </w:rPr>
        <w:t>5003710002</w:t>
      </w:r>
      <w:r>
        <w:t xml:space="preserve">.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w:t>
      </w:r>
      <w:r>
        <w:lastRenderedPageBreak/>
        <w:t>peněžního ústavu o složení částky ve výši odpovídající požadované jistotě na výše uvedený účet zadavatele.</w:t>
      </w:r>
    </w:p>
    <w:p w14:paraId="7DB1D9E0" w14:textId="77777777" w:rsidR="00F71775" w:rsidRDefault="00CC0B7F" w:rsidP="00F71775">
      <w:pPr>
        <w:pStyle w:val="Nadpis2"/>
      </w:pPr>
      <w:r>
        <w:t>Jistota ve formě bankovní záruky nebo pojištění záruky bude předložena jako součást nabídky v elektronické podobě prostřednictvím elektronického nástroje E-ZAK v podobě dokladu banky nebo pojišťovny prokazujícího povinnost banky nebo pojišťovny vyplatit zadavateli jistotu na základě jeho sdělení o splnění podmínek podle § 41 odst. 7 ZZVZ.</w:t>
      </w:r>
    </w:p>
    <w:p w14:paraId="32AD7A0A" w14:textId="2566FB05" w:rsidR="00CC0B7F" w:rsidRPr="00CC0B7F" w:rsidRDefault="00CC0B7F" w:rsidP="00F71775">
      <w:pPr>
        <w:pStyle w:val="Nadpis2"/>
      </w:pPr>
      <w:r>
        <w:t>Je-li jistota poskytnuta formou bankovní záruky nebo pojištění záruky, je účastník zadávacího řízení povinen zajistit její platnost po celou dobu trvání zadávací lhůty. Nakládání s peněžní jistotou, resp. její vrácení, příp. propadnutí, upravuje §</w:t>
      </w:r>
      <w:r w:rsidR="00FC3F8A">
        <w:t> </w:t>
      </w:r>
      <w:r>
        <w:t>41</w:t>
      </w:r>
      <w:r w:rsidR="00F71775">
        <w:t> </w:t>
      </w:r>
      <w:r>
        <w:t>ZZVZ.</w:t>
      </w:r>
    </w:p>
    <w:p w14:paraId="4031C992" w14:textId="1C874F36" w:rsidR="00D36785" w:rsidRPr="001549EC" w:rsidRDefault="00D36785" w:rsidP="00725912">
      <w:pPr>
        <w:pStyle w:val="Nadpis1"/>
        <w:keepNext w:val="0"/>
        <w:keepLines w:val="0"/>
      </w:pPr>
      <w:r w:rsidRPr="001549EC">
        <w:t>Vyhrazené změny závazku:</w:t>
      </w:r>
    </w:p>
    <w:p w14:paraId="019EA63F" w14:textId="0B7F9693" w:rsidR="00D26514" w:rsidRPr="00773DE9" w:rsidRDefault="00D26514" w:rsidP="0018663E">
      <w:pPr>
        <w:pStyle w:val="Nadpis2"/>
        <w:rPr>
          <w:u w:val="single"/>
        </w:rPr>
      </w:pPr>
      <w:r w:rsidRPr="00773DE9">
        <w:rPr>
          <w:u w:val="single"/>
        </w:rPr>
        <w:t>Vyhrazená změna závazku, resp. výhrada využití jednacího řízení bez uveřejnění pro poskytnutí nových služeb</w:t>
      </w:r>
    </w:p>
    <w:p w14:paraId="5B14B560" w14:textId="79C01D2B" w:rsidR="00D26514" w:rsidRDefault="00D26514" w:rsidP="00773DE9">
      <w:pPr>
        <w:ind w:left="1276"/>
        <w:jc w:val="both"/>
      </w:pPr>
      <w:r>
        <w:t>Zadavatel si v souladu s § 100 odst. 3 ZZVZ vyhrazuje možnost využití jednacího řízení bez uveřejnění pro poskytnutí nových služeb vybraným dodavatelem dle §</w:t>
      </w:r>
      <w:r w:rsidR="00693179">
        <w:t> </w:t>
      </w:r>
      <w:r>
        <w:t>66 ZZVZ po finančním uzavření Projektu;</w:t>
      </w:r>
    </w:p>
    <w:p w14:paraId="66AA34E5" w14:textId="4B0E0918" w:rsidR="0018663E" w:rsidRDefault="00D26514" w:rsidP="00773DE9">
      <w:pPr>
        <w:ind w:left="1276"/>
        <w:jc w:val="both"/>
      </w:pPr>
      <w:r>
        <w:t xml:space="preserve">Zadavatel v souladu s § 100 odst. 3 ZZVZ vymezuje základní předmět nových služeb, potenciálně vyplývajících ze změny závazku ze smlouvy následovně: Poskytování poradenských služeb souvisejících s uzavřenou koncesionářskou smlouvou, zastupování zájmů </w:t>
      </w:r>
      <w:r w:rsidR="00693179">
        <w:t>z</w:t>
      </w:r>
      <w:r>
        <w:t xml:space="preserve">adavatele při jednání s koncesionářem, nezávislým dozorem a jinými subjekty, participujícími na realizaci procesů dle uzavřené koncesionářské smlouvy. Poradenskými službami se v tomto ohledu rozumí také vypracovávání a připomínkování podkladů, stanovisek, návrhů, odpovědí a dalších dokumentů, jejichž nezbytnost vyplyne z uzavřené koncesionářské smlouvy, resp. z následné komunikace s vybraným koncesionářem pro </w:t>
      </w:r>
      <w:r w:rsidR="00693179">
        <w:t>Projekt</w:t>
      </w:r>
      <w:r>
        <w:t xml:space="preserve">. Zadavatel předpokládá, že vybraný dodavatel zabezpečí poskytování služeb stejným realizačním týmem, který se podílel na poskytování poradenských služeb předcházejících finančnímu uzavření Projektu. Poskytování těchto služeb ze strany poradců, kteří byli účastni procesu zadávacího řízení na výběr koncesionáře, významně přispěje ke snížení časové náročnosti nutné na řádné poskytnutí těchto služeb. </w:t>
      </w:r>
      <w:r w:rsidR="00D3010D">
        <w:t>P</w:t>
      </w:r>
      <w:r>
        <w:t>růběžn</w:t>
      </w:r>
      <w:r w:rsidR="00D3010D">
        <w:t>á</w:t>
      </w:r>
      <w:r>
        <w:t xml:space="preserve"> fakturac</w:t>
      </w:r>
      <w:r w:rsidR="00D3010D">
        <w:t>e</w:t>
      </w:r>
      <w:r>
        <w:t xml:space="preserve"> poradenských služeb založených na využití tzv. opčního práva dle § 66 ZZVZ, resp. vyhrazené změny závazku </w:t>
      </w:r>
      <w:r w:rsidR="00D3010D">
        <w:t xml:space="preserve">a </w:t>
      </w:r>
      <w:r>
        <w:t>výš</w:t>
      </w:r>
      <w:r w:rsidR="00D3010D">
        <w:t>e</w:t>
      </w:r>
      <w:r>
        <w:t xml:space="preserve"> hodinové sazby jednotlivých expertů</w:t>
      </w:r>
      <w:r w:rsidR="00D3010D">
        <w:t xml:space="preserve"> bude vycházet </w:t>
      </w:r>
      <w:r>
        <w:t>z tohoto zadávacího řízení;</w:t>
      </w:r>
    </w:p>
    <w:p w14:paraId="0262A410" w14:textId="3197D599" w:rsidR="0018663E" w:rsidRDefault="0018663E" w:rsidP="00773DE9">
      <w:pPr>
        <w:ind w:left="1276"/>
        <w:jc w:val="both"/>
      </w:pPr>
      <w:r>
        <w:t xml:space="preserve">Rozsah těchto nových služeb se předpokládá v rozsahu </w:t>
      </w:r>
      <w:r w:rsidR="001323AB">
        <w:t xml:space="preserve">necelých </w:t>
      </w:r>
      <w:r>
        <w:t xml:space="preserve">30 % ceny původní veřejné zakázky, přičemž </w:t>
      </w:r>
      <w:r w:rsidR="003947E3">
        <w:t xml:space="preserve">skutečná cena za nové služby </w:t>
      </w:r>
      <w:r>
        <w:t xml:space="preserve">zároveň nepřesáhne ve smyslu § 66 ZZVZ o více než 30 % předpokládanou hodnotu veřejné zakázky </w:t>
      </w:r>
      <w:r w:rsidR="003947E3">
        <w:t xml:space="preserve">na nové služby </w:t>
      </w:r>
      <w:r>
        <w:t xml:space="preserve">stanovenou </w:t>
      </w:r>
      <w:r w:rsidR="004A52F9">
        <w:t>z</w:t>
      </w:r>
      <w:r>
        <w:t xml:space="preserve">adavatelem dále v těchto </w:t>
      </w:r>
      <w:r w:rsidR="004A52F9">
        <w:t>z</w:t>
      </w:r>
      <w:r>
        <w:t>adávacích podmínkách dle § 16 odst. 3 ZZVZ;</w:t>
      </w:r>
    </w:p>
    <w:p w14:paraId="1F6F6783" w14:textId="691514E3" w:rsidR="00D26514" w:rsidRPr="00D26514" w:rsidRDefault="0018663E" w:rsidP="00F57876">
      <w:pPr>
        <w:ind w:left="1276"/>
        <w:jc w:val="both"/>
      </w:pPr>
      <w:r>
        <w:t xml:space="preserve">Zadavatel v souladu s § 100 odst. 3 písm. c) ZZVZ stanoví předběžně dobu využití opčního práva na období 18 měsíců po finančním uzavření </w:t>
      </w:r>
      <w:r w:rsidR="00F6283D">
        <w:t>P</w:t>
      </w:r>
      <w:r>
        <w:t>rojektu.</w:t>
      </w:r>
    </w:p>
    <w:p w14:paraId="64AADD74" w14:textId="245CCA6C" w:rsidR="00536545" w:rsidRDefault="00536545" w:rsidP="001B5723">
      <w:pPr>
        <w:pStyle w:val="Nadpis2"/>
      </w:pPr>
      <w:r w:rsidRPr="00536545">
        <w:lastRenderedPageBreak/>
        <w:t>V rámci plnění předmětu veřejné zakázky je za oficiální jazyk považován český jazyk. Veškeré finální výstupy plnění veřejné zakázky budou předloženy v českém i anglickém jazyce. Zadavatel však předpokládá, že i na straně jeho projektového týmu budou všichni členové schopni vést jednání a kontrolovat dílčí výstupy plnění v anglickém jazyce. Zadavatel si ovšem vyhrazuje právo kdykoliv v průběhu poskytování poradenských služeb dle své potřeby vyzvat vybraného dodavatele k předložení konkrétních informací či dokumentů, představujících dílčí plnění, v českém jazyce. Stejně tak si zadavatel vyhrazuje právo požádat vybraného dodavatele o zajištění překladatelských služeb z českého do anglického jazyka a opačně pro konkrétní vedená jednání. Náklady na překladatelské služby je dodavatel povinen zakalkulovat do své nabídkové ceny.</w:t>
      </w:r>
    </w:p>
    <w:p w14:paraId="7578668A" w14:textId="1465235A" w:rsidR="006B26BE" w:rsidRDefault="0024750D" w:rsidP="001B5723">
      <w:pPr>
        <w:pStyle w:val="Nadpis2"/>
      </w:pPr>
      <w:r>
        <w:t>Zadavatel si dále vyhrazuje, že vybraný dodavatel</w:t>
      </w:r>
      <w:r w:rsidR="00720848">
        <w:t xml:space="preserve"> nebo jeho poddodavatel</w:t>
      </w:r>
      <w:r>
        <w:t>, který bude plnit před</w:t>
      </w:r>
      <w:r w:rsidR="008959A6">
        <w:t>m</w:t>
      </w:r>
      <w:r>
        <w:t>ět této veřejné zakázky nesmí podat žádost o účast či nabídku do zadávacího řízení na výběr kon</w:t>
      </w:r>
      <w:r w:rsidR="002C6042">
        <w:t>c</w:t>
      </w:r>
      <w:r>
        <w:t>esionáře pro Projekt, nesmí se stát koncesionářem pro Projekt ani poddodavatelem koncesionáře pro Projekt.</w:t>
      </w:r>
      <w:r w:rsidR="00C760C7">
        <w:t xml:space="preserve"> Podáním nabídky </w:t>
      </w:r>
      <w:r w:rsidR="00362D80">
        <w:t>d</w:t>
      </w:r>
      <w:r w:rsidR="00C760C7">
        <w:t>o této veřejné zakázky s těmito výhradami dodavatel výslovně souhlasí.</w:t>
      </w:r>
      <w:r w:rsidR="00362D80">
        <w:t xml:space="preserve"> Splnění této podmínky bude vybraný dodavatel povinen zajistit také v rámci přípravy zadávacích podmínek na výběr koncesionáře pro Projekt.</w:t>
      </w:r>
    </w:p>
    <w:p w14:paraId="262096AC" w14:textId="433864E0" w:rsidR="006B26BE" w:rsidRPr="006B26BE" w:rsidRDefault="006B26BE" w:rsidP="007165EB">
      <w:pPr>
        <w:pStyle w:val="Nadpis2"/>
      </w:pPr>
      <w:r>
        <w:t>Zadavatel si vyhrazuje, že</w:t>
      </w:r>
      <w:r w:rsidR="007165EB">
        <w:t xml:space="preserve"> kdykoliv v průběhu realizace této veřejné zakázky je oprávněn na základě pokynu </w:t>
      </w:r>
      <w:r w:rsidR="007165EB" w:rsidRPr="007165EB">
        <w:t>Vlády České republik</w:t>
      </w:r>
      <w:r w:rsidR="007165EB">
        <w:t xml:space="preserve">y, </w:t>
      </w:r>
      <w:r w:rsidR="007165EB" w:rsidRPr="007165EB">
        <w:t>Ministerst</w:t>
      </w:r>
      <w:r w:rsidR="007165EB">
        <w:t>va</w:t>
      </w:r>
      <w:r w:rsidR="007165EB" w:rsidRPr="007165EB">
        <w:t xml:space="preserve"> dopravy</w:t>
      </w:r>
      <w:r w:rsidR="007165EB">
        <w:t xml:space="preserve"> nebo </w:t>
      </w:r>
      <w:r w:rsidR="007165EB" w:rsidRPr="007165EB">
        <w:t>Státní</w:t>
      </w:r>
      <w:r w:rsidR="007165EB">
        <w:t>ho</w:t>
      </w:r>
      <w:r w:rsidR="007165EB" w:rsidRPr="007165EB">
        <w:t xml:space="preserve"> fond</w:t>
      </w:r>
      <w:r w:rsidR="007165EB">
        <w:t>u</w:t>
      </w:r>
      <w:r w:rsidR="007165EB" w:rsidRPr="007165EB">
        <w:t xml:space="preserve"> dopravní infrastruktury</w:t>
      </w:r>
      <w:r w:rsidR="007165EB">
        <w:t xml:space="preserve"> vypovědět smlouvu na plnění předmětu veřejné zakázky. V případě popsané výpo</w:t>
      </w:r>
      <w:r w:rsidR="00EF3D67">
        <w:t>v</w:t>
      </w:r>
      <w:r w:rsidR="007165EB">
        <w:t>ědi bude vybraný do</w:t>
      </w:r>
      <w:r w:rsidR="00C372B8">
        <w:t>d</w:t>
      </w:r>
      <w:r w:rsidR="007165EB">
        <w:t>avatel oprávněn pouze k úhradě části nabídkové ceny, která odpovídá skutečně, účelně, hospodárně a efektivně vynaloženým nákladům, které vybraný dodavatel vynaložil v souvislosti s plněním předmětu veřejné zakázky do okamžiku</w:t>
      </w:r>
      <w:r w:rsidR="008959A6">
        <w:t xml:space="preserve"> výše</w:t>
      </w:r>
      <w:r w:rsidR="007165EB">
        <w:t xml:space="preserve"> </w:t>
      </w:r>
      <w:r w:rsidR="00BE1375">
        <w:t xml:space="preserve">popsané </w:t>
      </w:r>
      <w:r w:rsidR="007165EB">
        <w:t>výpovědi.</w:t>
      </w:r>
    </w:p>
    <w:p w14:paraId="088C4D16" w14:textId="495B8086" w:rsidR="001B5723" w:rsidRPr="001B5723" w:rsidRDefault="001B5723" w:rsidP="001B5723">
      <w:pPr>
        <w:pStyle w:val="Nadpis2"/>
      </w:pPr>
      <w:r>
        <w:t xml:space="preserve">Dodavatel může podat v zadávacím řízení jen jednu nabídku. </w:t>
      </w:r>
      <w:r w:rsidRPr="001B5723">
        <w:t>Zadavatel nepřipouští varianty nabídky.</w:t>
      </w:r>
      <w:r>
        <w:t xml:space="preserve"> Dodavatel </w:t>
      </w:r>
      <w:r w:rsidRPr="001B5723">
        <w:t>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643D424E" w14:textId="77777777" w:rsidR="001B5723" w:rsidRDefault="001B5723" w:rsidP="001B5723">
      <w:pPr>
        <w:pStyle w:val="Nadpis2"/>
      </w:pPr>
      <w:r>
        <w:t>Zadavatel nebude účastníkům zadávacího řízení hradit náklady spojené s účastí v zadávacím řízení. Zadavatel nebude zodpovědný a ani nebude hradit žádné výdaje nebo ztráty, které mohou účastníkům vzniknout v souvislosti s jakýmikoliv aspekty zadávacího řízení.</w:t>
      </w:r>
    </w:p>
    <w:p w14:paraId="48377C63" w14:textId="77777777" w:rsidR="00AE3109" w:rsidRDefault="001B5723" w:rsidP="00AE3109">
      <w:pPr>
        <w:pStyle w:val="Nadpis2"/>
      </w:pPr>
      <w:r>
        <w:t>Zadavatel si podle § 242 odst. 5 ZZVZ stanovuje, že námitky proti zadávací dokumentaci je možno podat nejpozději 2 dny před koncem lhůty pro podání nabídek.</w:t>
      </w:r>
    </w:p>
    <w:p w14:paraId="79849877" w14:textId="216B9463" w:rsidR="00AE3109" w:rsidRPr="00AE3109" w:rsidRDefault="00AE3109" w:rsidP="00AA3327">
      <w:pPr>
        <w:pStyle w:val="Nadpis2"/>
      </w:pPr>
      <w:r w:rsidRPr="00AE3109">
        <w:t xml:space="preserve">V souladu s § 170 ZZVZ si zadavatel vyhrazuje právo zrušit toto zadávací řízení i bez naplnění důvodů podle § 127 ZZVZ kdykoliv před uzavřením </w:t>
      </w:r>
      <w:r w:rsidR="00AA3327">
        <w:t>smlouvy na veřejnou zakázku</w:t>
      </w:r>
      <w:r w:rsidRPr="00AE3109">
        <w:t>.</w:t>
      </w:r>
    </w:p>
    <w:p w14:paraId="56D6A440" w14:textId="77777777" w:rsidR="00444DAA" w:rsidRDefault="001B5723" w:rsidP="00444DAA">
      <w:pPr>
        <w:pStyle w:val="Nadpis2"/>
      </w:pPr>
      <w:r>
        <w:lastRenderedPageBreak/>
        <w:t>Zadavatel si vyhrazuje právo ověřit informace obsažené v nabídce účastníka u třetích osob a účastník je povinen mu v tomto ohledu poskytnout veškerou potřebnou součinnost.</w:t>
      </w:r>
    </w:p>
    <w:p w14:paraId="3326464D" w14:textId="4F0A3D18" w:rsidR="00444DAA" w:rsidRPr="00444DAA" w:rsidRDefault="00444DAA" w:rsidP="00444DAA">
      <w:pPr>
        <w:pStyle w:val="Nadpis2"/>
      </w:pPr>
      <w:r w:rsidRPr="00444DAA">
        <w:t>Zadavatel uvádí v souladu s ust. § 89 odst. 5 a 6 ZZVZ, že pokud jsou v zadávacích podmínkách technické podmínky stanoveny prostřednictvím přímého nebo nepřímého odkazu na určité dodavatele nebo výrobky, nebo patenty na vynálezy, užitné vzory, průmyslové vzory, ochranné známky nebo označení původu, zadavatel u každého takového odkazu umožňuje nabídnout rovnocenné řešení.</w:t>
      </w:r>
    </w:p>
    <w:p w14:paraId="36C59D78" w14:textId="5F04CB83" w:rsidR="00D12229" w:rsidRPr="001549EC" w:rsidRDefault="00D12229" w:rsidP="00646BC3">
      <w:pPr>
        <w:pStyle w:val="Nadpis2"/>
      </w:pPr>
      <w:r w:rsidRPr="001549EC">
        <w:t xml:space="preserve">Podáním nabídky do tohoto zadávacího řízení účastník přijímá a akceptuje plně a bez výhrad zadávací podmínky včetně případných vysvětlení k zadávacím podmínkám. Zadavatel předpokládá, že účastník před podáním nabídky pečlivě prostuduje všechny pokyny, specifikace a termíny obsažené v zadávacích podmínkách a bude se jimi řídit. </w:t>
      </w:r>
    </w:p>
    <w:p w14:paraId="2E518960" w14:textId="21CD4353" w:rsidR="00D12229" w:rsidRPr="001549EC" w:rsidRDefault="00D12229" w:rsidP="00646BC3">
      <w:pPr>
        <w:pStyle w:val="Nadpis2"/>
      </w:pPr>
      <w:r w:rsidRPr="001549EC">
        <w:t xml:space="preserve">Zadavatel doporučuje účastníkům, aby si důkladně prostudovali zadávací podmínky a jakékoliv nejasnosti, připomínky či dotazy, které jim v souvislosti se zadávacími podmínkami vyvstanou, si vyjasnili v průběhu lhůty pro podání nabídek, prostřednictvím žádosti o vysvětlení podané v souladu s § 98 zákona a touto </w:t>
      </w:r>
      <w:r w:rsidR="001E01B6">
        <w:t>z</w:t>
      </w:r>
      <w:r w:rsidRPr="001549EC">
        <w:t>adávací dokumentací.</w:t>
      </w:r>
    </w:p>
    <w:p w14:paraId="7419DF1F" w14:textId="19209E39" w:rsidR="00D12229" w:rsidRPr="001549EC" w:rsidRDefault="00D12229" w:rsidP="00646BC3">
      <w:pPr>
        <w:pStyle w:val="Nadpis2"/>
      </w:pPr>
      <w:r w:rsidRPr="001549EC">
        <w:t xml:space="preserve">Tato </w:t>
      </w:r>
      <w:r w:rsidR="00D66F5D">
        <w:t>z</w:t>
      </w:r>
      <w:r w:rsidRPr="001549EC">
        <w:t xml:space="preserve">adávací dokumentace v souladu se </w:t>
      </w:r>
      <w:r w:rsidR="00B03AF1">
        <w:t>ZZVZ</w:t>
      </w:r>
      <w:r w:rsidRPr="001549EC">
        <w:t xml:space="preserve"> vymezuje předmět veřejné zakázky v podrobnostech nezbytných pro zpracování nabídky a účast dodavatele v zadávacím řízení. Zadávací dokumentace je pro účastníky zadávacího řízení závazná. Součástí </w:t>
      </w:r>
      <w:r w:rsidR="002E1B2C">
        <w:t>z</w:t>
      </w:r>
      <w:r w:rsidRPr="001549EC">
        <w:t xml:space="preserve">adávací dokumentace jsou všechny její přílohy uvedené v posledním článku této </w:t>
      </w:r>
      <w:r w:rsidR="002E1B2C">
        <w:t>z</w:t>
      </w:r>
      <w:r w:rsidRPr="001549EC">
        <w:t>adávací dokumentace.</w:t>
      </w:r>
    </w:p>
    <w:p w14:paraId="3265CEDF" w14:textId="23F549C8" w:rsidR="00D12229" w:rsidRPr="001549EC" w:rsidRDefault="00D12229" w:rsidP="00646BC3">
      <w:pPr>
        <w:pStyle w:val="Nadpis2"/>
      </w:pPr>
      <w:r w:rsidRPr="001549EC">
        <w:t xml:space="preserve">Práva, povinnosti či podmínky v této </w:t>
      </w:r>
      <w:r w:rsidR="005C3B92">
        <w:t>z</w:t>
      </w:r>
      <w:r w:rsidRPr="001549EC">
        <w:t>adávací dokumentaci neuvedené se řídí zákonem a dalšími obecně závaznými právními předpisy.</w:t>
      </w:r>
    </w:p>
    <w:p w14:paraId="69EEA478" w14:textId="77777777" w:rsidR="008B333C" w:rsidRPr="001549EC" w:rsidRDefault="008B333C" w:rsidP="00725912">
      <w:pPr>
        <w:pStyle w:val="Nadpis1"/>
        <w:keepNext w:val="0"/>
        <w:keepLines w:val="0"/>
      </w:pPr>
      <w:bookmarkStart w:id="13" w:name="_Ref97641197"/>
      <w:r w:rsidRPr="001549EC">
        <w:t>Střet zájmů dle zákona č. 159/2006 Sb., o střetu zájmů, ve znění pozdějších předpisů</w:t>
      </w:r>
      <w:bookmarkEnd w:id="13"/>
    </w:p>
    <w:p w14:paraId="03287E6B" w14:textId="77777777" w:rsidR="008B333C" w:rsidRPr="001549EC" w:rsidRDefault="008B333C" w:rsidP="00646BC3">
      <w:pPr>
        <w:pStyle w:val="Nadpis2"/>
      </w:pPr>
      <w:r w:rsidRPr="001549EC">
        <w:t>Dle § 4b zákona č. 159/2006 Sb., o střetu zájmů, ve znění pozdějších předpisů (dále jen „</w:t>
      </w:r>
      <w:r w:rsidRPr="001549EC">
        <w:rPr>
          <w:i/>
        </w:rPr>
        <w:t>Zákon o střetu zájmů</w:t>
      </w:r>
      <w:r w:rsidRPr="001549EC">
        <w:t>“),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8674C9" w14:textId="247AC03B" w:rsidR="008B333C" w:rsidRPr="001549EC" w:rsidRDefault="008B333C" w:rsidP="00646BC3">
      <w:pPr>
        <w:pStyle w:val="Nadpis2"/>
      </w:pPr>
      <w:r w:rsidRPr="001549E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875269">
        <w:t xml:space="preserve">součástí Krycího listu nabídky, který </w:t>
      </w:r>
      <w:r w:rsidR="00875269" w:rsidRPr="004E0E49">
        <w:t xml:space="preserve">tvoří </w:t>
      </w:r>
      <w:r w:rsidRPr="004E0E49">
        <w:t>přílohou č. 1</w:t>
      </w:r>
      <w:r w:rsidR="00875269" w:rsidRPr="00297116">
        <w:t xml:space="preserve"> této</w:t>
      </w:r>
      <w:r w:rsidRPr="001549EC">
        <w:t xml:space="preserve"> </w:t>
      </w:r>
      <w:r w:rsidR="00773760">
        <w:t>z</w:t>
      </w:r>
      <w:r w:rsidRPr="001549EC">
        <w:t>adávací dokumentace, ve své nabídce.</w:t>
      </w:r>
    </w:p>
    <w:p w14:paraId="183B196B" w14:textId="4BCF6D15" w:rsidR="008B333C" w:rsidRPr="001549EC" w:rsidRDefault="008B333C" w:rsidP="00646BC3">
      <w:pPr>
        <w:pStyle w:val="Nadpis2"/>
      </w:pPr>
      <w:bookmarkStart w:id="14" w:name="_Ref97640992"/>
      <w:r w:rsidRPr="001549EC">
        <w:lastRenderedPageBreak/>
        <w:t xml:space="preserve">Vybraný dodavatel je povinen předložit k výzvě </w:t>
      </w:r>
      <w:r w:rsidR="007C3650">
        <w:t>z</w:t>
      </w:r>
      <w:r w:rsidRPr="001549EC">
        <w:t>adavatele dle § 122 odst. 3 písm. b) ZZVZ doklady a informace, z nichž nepochybně vyplyne, že vybraný dodavatel i všichni poddodavatelé, jimiž vybraný dodavatel prokazuje kvalifikaci, splňují podmínku neexistence střetu zájmů ve smyslu § 4b Zákona o střetu zájmů a</w:t>
      </w:r>
      <w:r w:rsidR="007C3650">
        <w:t xml:space="preserve"> této z</w:t>
      </w:r>
      <w:r w:rsidRPr="001549EC">
        <w:t>adávací dokumentace. V případě vybraného dodavatele nebo jeho poddodavatele, prostřednictvím kterého vybraný dodavatel prokazoval část kvalifikace, je-li zahraniční právnickou osobou, je vybraný dodavatel povinen předložit zejména doklady ve smyslu § 122 odst. 5 ZZVZ, a to i ve vztahu k příslušnému poddodavateli, prostřednictvím kterého vybraný dodavatel prokazoval část kvalifikace.</w:t>
      </w:r>
      <w:bookmarkEnd w:id="14"/>
    </w:p>
    <w:p w14:paraId="2E4AD28C" w14:textId="283D106D" w:rsidR="008B333C" w:rsidRPr="001549EC" w:rsidRDefault="008B333C" w:rsidP="00646BC3">
      <w:pPr>
        <w:pStyle w:val="Nadpis2"/>
      </w:pPr>
      <w:r w:rsidRPr="001549EC">
        <w:t>V případě postupu účastníka v rozporu s</w:t>
      </w:r>
      <w:r w:rsidR="00D71F2A">
        <w:t> touto kapitolou 19 z</w:t>
      </w:r>
      <w:r w:rsidRPr="001549EC">
        <w:t>adávací dokumentace bude účastník vyloučen ze zadávacího řízení.</w:t>
      </w:r>
    </w:p>
    <w:p w14:paraId="3F5B3D69" w14:textId="3F91EA3D" w:rsidR="008B333C" w:rsidRDefault="008B333C" w:rsidP="0077601A">
      <w:pPr>
        <w:pStyle w:val="Nadpis1"/>
        <w:keepNext w:val="0"/>
        <w:keepLines w:val="0"/>
      </w:pPr>
      <w:r w:rsidRPr="001549EC">
        <w:t xml:space="preserve">Další zadávací podmínky v návaznosti na </w:t>
      </w:r>
      <w:r w:rsidR="00DF34DD">
        <w:t xml:space="preserve">mezinárodní </w:t>
      </w:r>
      <w:r w:rsidRPr="001549EC">
        <w:t>sankce</w:t>
      </w:r>
    </w:p>
    <w:p w14:paraId="2148ADBB" w14:textId="3E9761AA" w:rsidR="00DD397A" w:rsidRDefault="00DD397A" w:rsidP="0077601A">
      <w:pPr>
        <w:pStyle w:val="Nadpis2"/>
      </w:pPr>
      <w:r>
        <w:t xml:space="preserve">Zadavatel v tomto řízení postupuje v souladu s § 48a ZZVZ. </w:t>
      </w:r>
      <w:r w:rsidRPr="001A0918">
        <w:t>Zadavatel nezadá veřejnou zakázku účastníku zadávacího řízení, pokud je to v rozporu s mezinárodními sankcemi podle zákona upravujícího provádění mezinárodních sankcí.</w:t>
      </w:r>
    </w:p>
    <w:p w14:paraId="6A7B0DD1" w14:textId="041FA33F" w:rsidR="0077601A" w:rsidRDefault="0077601A" w:rsidP="0077601A">
      <w:pPr>
        <w:pStyle w:val="Nadpis2"/>
      </w:pPr>
      <w:r>
        <w:t>Dle článku 5k nařízení Rady (EU) č. 833/2014 ze dne 31. července 2014 o omezujících opatřeních vzhledem k činnostem Ruska destabilizujícím situaci na Ukrajině, ve znění pozdějších předpisů</w:t>
      </w:r>
      <w:r>
        <w:rPr>
          <w:rStyle w:val="Znakapoznpodarou"/>
          <w:rFonts w:cs="Verdana"/>
        </w:rPr>
        <w:footnoteReference w:id="6"/>
      </w:r>
      <w:r w:rsidRPr="008A2E1A">
        <w:rPr>
          <w:sz w:val="20"/>
          <w:szCs w:val="20"/>
          <w:vertAlign w:val="superscript"/>
        </w:rPr>
        <w:t xml:space="preserve"> </w:t>
      </w:r>
      <w:r>
        <w:t>(dále jen „</w:t>
      </w:r>
      <w:r>
        <w:rPr>
          <w:rFonts w:ascii="Verdana,BoldItalic" w:hAnsi="Verdana,BoldItalic" w:cs="Verdana,BoldItalic"/>
          <w:b/>
          <w:bCs/>
          <w:i/>
        </w:rPr>
        <w:t>Nařízení č. 833/2014</w:t>
      </w:r>
      <w:r>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DD397A">
        <w:t>u</w:t>
      </w:r>
      <w:r>
        <w:t xml:space="preserve"> 7 </w:t>
      </w:r>
      <w:r w:rsidR="00DD397A" w:rsidRPr="004A650A">
        <w:t>písm. a) až d)</w:t>
      </w:r>
      <w:r w:rsidR="00DD397A">
        <w:t>, článku</w:t>
      </w:r>
      <w:r>
        <w:t xml:space="preserve"> 8, čl. 10 písm. b) až f) a písm. h) až j) směrnice 2014/24/EU, článku 18, čl. 21 písm. b) až e) a písm. g</w:t>
      </w:r>
      <w:r w:rsidR="00DD397A">
        <w:t>)</w:t>
      </w:r>
      <w:r>
        <w:t xml:space="preserve"> až i), článků 29 a 30 směrnice 2014/25/EU a čl. 13 písm. a) až d), f) až h) a j) směrnice 2009/81/EC</w:t>
      </w:r>
      <w:r w:rsidR="00DD397A" w:rsidRPr="00DD397A">
        <w:t xml:space="preserve"> </w:t>
      </w:r>
      <w:r w:rsidR="00DD397A" w:rsidRPr="004A650A">
        <w:t>a hlavy VII na</w:t>
      </w:r>
      <w:r w:rsidR="00DD397A" w:rsidRPr="004A650A">
        <w:rPr>
          <w:rFonts w:hint="eastAsia"/>
        </w:rPr>
        <w:t>ří</w:t>
      </w:r>
      <w:r w:rsidR="00DD397A" w:rsidRPr="004A650A">
        <w:t>zení Evropského parlamentu a Rady (EU, Euratom) 2018/1046</w:t>
      </w:r>
      <w:r>
        <w:t>:</w:t>
      </w:r>
    </w:p>
    <w:p w14:paraId="0DCE0284" w14:textId="77777777" w:rsidR="0077601A" w:rsidRDefault="0077601A" w:rsidP="0077601A">
      <w:pPr>
        <w:pStyle w:val="Odstavecseseznamem"/>
        <w:numPr>
          <w:ilvl w:val="0"/>
          <w:numId w:val="35"/>
        </w:numPr>
        <w:spacing w:before="0" w:after="0" w:line="264" w:lineRule="auto"/>
        <w:ind w:left="1701" w:hanging="425"/>
      </w:pPr>
      <w:r>
        <w:t>jakémukoli ruskému státnímu příslušníkovi, fyzické či právnické osobě nebo subjektu či orgánu se sídlem v Rusku,</w:t>
      </w:r>
    </w:p>
    <w:p w14:paraId="33433189" w14:textId="77777777" w:rsidR="0077601A" w:rsidRDefault="0077601A" w:rsidP="0077601A">
      <w:pPr>
        <w:pStyle w:val="Odstavecseseznamem"/>
        <w:numPr>
          <w:ilvl w:val="0"/>
          <w:numId w:val="35"/>
        </w:numPr>
        <w:spacing w:before="0" w:after="0" w:line="264" w:lineRule="auto"/>
        <w:ind w:left="1701" w:hanging="425"/>
      </w:pPr>
      <w:r>
        <w:t>právnické osobě, subjektu nebo orgánu, které jsou z více než 50 % přímo či nepřímo vlastněny některým ze subjektů uvedených v písmeni a) tohoto odstavce, nebo</w:t>
      </w:r>
    </w:p>
    <w:p w14:paraId="33D0155C" w14:textId="77777777" w:rsidR="0077601A" w:rsidRDefault="0077601A" w:rsidP="0077601A">
      <w:pPr>
        <w:pStyle w:val="Odstavecseseznamem"/>
        <w:numPr>
          <w:ilvl w:val="0"/>
          <w:numId w:val="35"/>
        </w:numPr>
        <w:spacing w:before="0" w:after="0" w:line="264" w:lineRule="auto"/>
        <w:ind w:left="1701" w:hanging="425"/>
      </w:pPr>
      <w:r>
        <w:t>fyzické nebo právnické osobě, subjektu nebo orgánu, které jednají jménem nebo na pokyn některého ze subjektů uvedených v písmeni a) nebo b) tohoto odstavce,</w:t>
      </w:r>
    </w:p>
    <w:p w14:paraId="50D033ED" w14:textId="77777777" w:rsidR="0077601A" w:rsidRDefault="0077601A" w:rsidP="0077601A">
      <w:pPr>
        <w:pStyle w:val="Odstavecseseznamem"/>
        <w:numPr>
          <w:ilvl w:val="0"/>
          <w:numId w:val="35"/>
        </w:numPr>
        <w:spacing w:before="0" w:after="0" w:line="264" w:lineRule="auto"/>
        <w:ind w:left="1701" w:hanging="425"/>
      </w:pPr>
      <w:r>
        <w:t>včetně subdodavatelů, dodavatelů nebo subjektů, jejichž způsobilost je využívána ve smyslu směrnic o zadávání veřejných zakázek, pokud představují více než 10 % hodnoty zakázky, nebo společně s nimi.</w:t>
      </w:r>
    </w:p>
    <w:p w14:paraId="5E64EC34" w14:textId="140DD025" w:rsidR="0077601A" w:rsidRDefault="0077601A" w:rsidP="0077601A">
      <w:pPr>
        <w:pStyle w:val="Nadpis2"/>
      </w:pPr>
      <w:r>
        <w:lastRenderedPageBreak/>
        <w:t>Zadavatel požaduje, aby účastník sám jakožto dodavatel, případně dodavatelé v jeho rámci sdružení za účelem účasti v</w:t>
      </w:r>
      <w:r w:rsidR="00165078">
        <w:t> zadávacím řízen</w:t>
      </w:r>
      <w:r>
        <w:t xml:space="preserve">í, ani žádný z jeho poddodavatelů nebo jiných osob, jejichž způsobilost je využívána ve smyslu směrnic o zadávání veřejných zakázek, </w:t>
      </w:r>
      <w:r w:rsidRPr="000A0C12">
        <w:rPr>
          <w:b/>
        </w:rPr>
        <w:t>nebyli</w:t>
      </w:r>
      <w:r>
        <w:t xml:space="preserve"> osobami dle odst. 1 tohoto článku a Nařízení č. 833/2014.</w:t>
      </w:r>
    </w:p>
    <w:p w14:paraId="60C67050" w14:textId="77777777" w:rsidR="0077601A" w:rsidRDefault="0077601A" w:rsidP="0077601A">
      <w:pPr>
        <w:pStyle w:val="Nadpis2"/>
      </w:pPr>
      <w:r>
        <w:t>Dle čl. 2 nařízení Rady (EU) č. 269/2014 ze dne 17. března 2014, o omezujících opatřeních vzhledem k činnostem narušujícím nebo ohrožujícím územní celistvost, svrchovanost a nezávislost Ukrajiny, ve znění pozdějších předpisů (dále jen „</w:t>
      </w:r>
      <w:r>
        <w:rPr>
          <w:rFonts w:ascii="Verdana,BoldItalic" w:hAnsi="Verdana,BoldItalic" w:cs="Verdana,BoldItalic"/>
          <w:b/>
          <w:bCs/>
          <w:i/>
        </w:rPr>
        <w:t>Nařízení č.</w:t>
      </w:r>
      <w:r>
        <w:t xml:space="preserve"> </w:t>
      </w:r>
      <w:r>
        <w:rPr>
          <w:rFonts w:ascii="Verdana,BoldItalic" w:hAnsi="Verdana,BoldItalic" w:cs="Verdana,BoldItalic"/>
          <w:b/>
          <w:bCs/>
          <w:i/>
        </w:rPr>
        <w:t>269/2014</w:t>
      </w:r>
      <w:r>
        <w:t>“), a dalších prováděcích předpisů k tomuto Nařízení č. 269/2014 (</w:t>
      </w:r>
      <w:r>
        <w:rPr>
          <w:rFonts w:ascii="Verdana,Bold" w:hAnsi="Verdana,Bold" w:cs="Verdana,Bold"/>
          <w:b/>
          <w:bCs/>
        </w:rPr>
        <w:t>tzv.</w:t>
      </w:r>
      <w:r>
        <w:t xml:space="preserve"> </w:t>
      </w:r>
      <w:r>
        <w:rPr>
          <w:rFonts w:ascii="Verdana,Bold" w:hAnsi="Verdana,Bold" w:cs="Verdana,Bold"/>
          <w:b/>
          <w:bCs/>
        </w:rPr>
        <w:t>sankční seznamy</w:t>
      </w:r>
      <w:r>
        <w:t>),</w:t>
      </w:r>
      <w:r>
        <w:rPr>
          <w:rStyle w:val="Znakapoznpodarou"/>
          <w:rFonts w:cs="Verdana"/>
        </w:rPr>
        <w:footnoteReference w:id="7"/>
      </w:r>
      <w:r>
        <w:t xml:space="preserve"> nesmějí být žádné finanční prostředky ani hospodářské zdroje</w:t>
      </w:r>
      <w:r w:rsidRPr="00144654">
        <w:t xml:space="preserve"> </w:t>
      </w:r>
      <w:r>
        <w:t>přímo ani nepřímo zpřístupněny fyzickým nebo právnickým osobám, subjektům či orgánům nebo fyzickým nebo právnickým osobám, subjektům či orgánům s nimi spojeným uvedeným v příloze I Nařízení nebo v jejich prospěch (dále jen „</w:t>
      </w:r>
      <w:r>
        <w:rPr>
          <w:rFonts w:ascii="Verdana,BoldItalic" w:hAnsi="Verdana,BoldItalic" w:cs="Verdana,BoldItalic"/>
          <w:b/>
          <w:bCs/>
          <w:i/>
        </w:rPr>
        <w:t>Osoby</w:t>
      </w:r>
      <w:r>
        <w:t xml:space="preserve"> </w:t>
      </w:r>
      <w:r>
        <w:rPr>
          <w:rFonts w:ascii="Verdana,BoldItalic" w:hAnsi="Verdana,BoldItalic" w:cs="Verdana,BoldItalic"/>
          <w:b/>
          <w:bCs/>
          <w:i/>
        </w:rPr>
        <w:t>vedené na sankčních seznamech</w:t>
      </w:r>
      <w:r>
        <w:t>“).</w:t>
      </w:r>
    </w:p>
    <w:p w14:paraId="37CF9CB5" w14:textId="536C5E06" w:rsidR="0077601A" w:rsidRDefault="0077601A" w:rsidP="0077601A">
      <w:pPr>
        <w:pStyle w:val="Nadpis2"/>
      </w:pPr>
      <w:r>
        <w:t>Zadavatel dále požaduje, aby účastník sám jakožto dodavatel, případně dodavatelé v jeho rámci sdružení za účelem účasti v</w:t>
      </w:r>
      <w:r w:rsidR="00663903">
        <w:t xml:space="preserve"> zadávacím</w:t>
      </w:r>
      <w:r>
        <w:t xml:space="preserve"> řízení, ani žádný z jeho poddodavatelů nebo jiných osob, jejichž způsobilost je využívána ve smyslu směrnic o zadávání veřejných zakázek, </w:t>
      </w:r>
      <w:r>
        <w:rPr>
          <w:rFonts w:ascii="Verdana,Bold" w:hAnsi="Verdana,Bold" w:cs="Verdana,Bold"/>
          <w:b/>
          <w:bCs/>
        </w:rPr>
        <w:t xml:space="preserve">nebyli </w:t>
      </w:r>
      <w:r>
        <w:t>Osobami vedenými na sankčních seznamech.</w:t>
      </w:r>
    </w:p>
    <w:p w14:paraId="32BB97F5" w14:textId="6F681A6C" w:rsidR="0077601A" w:rsidRDefault="0077601A" w:rsidP="0077601A">
      <w:pPr>
        <w:pStyle w:val="Nadpis2"/>
      </w:pPr>
      <w:r>
        <w:t xml:space="preserve">Splnění zadávacích podmínek stanovených zadavatelem dle tohoto článku prokáže účastník předložením čestného prohlášení, jehož vzorové znění je uvedeno </w:t>
      </w:r>
      <w:r w:rsidRPr="00290616">
        <w:t xml:space="preserve">v </w:t>
      </w:r>
      <w:r w:rsidRPr="004E0E49">
        <w:t xml:space="preserve">příloze </w:t>
      </w:r>
      <w:r w:rsidRPr="004E0E49">
        <w:fldChar w:fldCharType="begin"/>
      </w:r>
      <w:r w:rsidRPr="004E0E49">
        <w:instrText xml:space="preserve"> REF _Ref100325414 \r \h  \* MERGEFORMAT </w:instrText>
      </w:r>
      <w:r w:rsidRPr="004E0E49">
        <w:fldChar w:fldCharType="separate"/>
      </w:r>
      <w:r w:rsidR="000A0D06">
        <w:t>č. 1</w:t>
      </w:r>
      <w:r w:rsidRPr="004E0E49">
        <w:fldChar w:fldCharType="end"/>
      </w:r>
      <w:r w:rsidRPr="00297116">
        <w:t xml:space="preserve"> této</w:t>
      </w:r>
      <w:r>
        <w:t xml:space="preserve"> </w:t>
      </w:r>
      <w:r w:rsidR="00DB3EFB" w:rsidRPr="00DB3EFB">
        <w:t>zadávací dokumentace</w:t>
      </w:r>
      <w:r>
        <w:t>, ve své nabídce.</w:t>
      </w:r>
    </w:p>
    <w:p w14:paraId="03D85540" w14:textId="48CA3997" w:rsidR="0077601A" w:rsidRDefault="0077601A" w:rsidP="0077601A">
      <w:pPr>
        <w:pStyle w:val="Nadpis2"/>
      </w:pPr>
      <w:r>
        <w:t xml:space="preserve">Zadavatel je oprávněn ověřovat si splnění zadávacích podmínek dle tohoto článku. Vybraný dodavatel je povinen předložit k výzvě zadavatele analogicky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DB3EFB" w:rsidRPr="00DB3EFB">
        <w:t>zadávací dokumentace</w:t>
      </w:r>
      <w:r>
        <w:t>.</w:t>
      </w:r>
    </w:p>
    <w:p w14:paraId="58D9DEE8" w14:textId="207A0D46" w:rsidR="0077601A" w:rsidRPr="0077601A" w:rsidRDefault="0077601A" w:rsidP="0077601A">
      <w:pPr>
        <w:pStyle w:val="Nadpis2"/>
      </w:pPr>
      <w:r>
        <w:t xml:space="preserve">V případě postupu </w:t>
      </w:r>
      <w:r w:rsidR="00DD397A">
        <w:t xml:space="preserve">vybraného dodavatele </w:t>
      </w:r>
      <w:r>
        <w:t>v rozporu s</w:t>
      </w:r>
      <w:r w:rsidR="00277351">
        <w:t xml:space="preserve"> touto kapitolou 20 </w:t>
      </w:r>
      <w:r>
        <w:t xml:space="preserve">této zadávací dokumetnace bude </w:t>
      </w:r>
      <w:r w:rsidR="00DD397A">
        <w:t xml:space="preserve">vybraný </w:t>
      </w:r>
      <w:r>
        <w:t>dodavatel vyloučen z</w:t>
      </w:r>
      <w:r w:rsidR="0003675C">
        <w:t>e zadávacího řízení</w:t>
      </w:r>
      <w:r>
        <w:t>.</w:t>
      </w:r>
    </w:p>
    <w:p w14:paraId="2E0BF23A" w14:textId="77777777" w:rsidR="000C1245" w:rsidRPr="000C1245" w:rsidRDefault="000C1245" w:rsidP="000C1245"/>
    <w:p w14:paraId="482FE444" w14:textId="77777777" w:rsidR="004646BB" w:rsidRDefault="00445024" w:rsidP="000C1245">
      <w:pPr>
        <w:pStyle w:val="Nadpis1"/>
        <w:keepNext w:val="0"/>
        <w:keepLines w:val="0"/>
        <w:spacing w:before="120" w:after="120"/>
      </w:pPr>
      <w:r w:rsidRPr="00445024">
        <w:t>Přílohy</w:t>
      </w:r>
    </w:p>
    <w:p w14:paraId="6097635A" w14:textId="29231DCC" w:rsidR="00445024" w:rsidRPr="00445024" w:rsidRDefault="004646BB" w:rsidP="004646BB">
      <w:pPr>
        <w:pStyle w:val="Nadpis2"/>
        <w:spacing w:after="120"/>
      </w:pPr>
      <w:r>
        <w:t xml:space="preserve">Přílohy </w:t>
      </w:r>
      <w:r w:rsidR="00445024" w:rsidRPr="00445024">
        <w:t>tvořící nedílnou součást zadávací dokumentace</w:t>
      </w:r>
      <w:r w:rsidR="00445024">
        <w:t>:</w:t>
      </w:r>
    </w:p>
    <w:p w14:paraId="7036968B" w14:textId="77777777"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bookmarkStart w:id="15" w:name="_Ref100325414"/>
      <w:bookmarkStart w:id="16" w:name="_Hlk148445307"/>
      <w:r w:rsidRPr="004646BB">
        <w:rPr>
          <w:rFonts w:eastAsia="Verdana" w:cs="Times New Roman"/>
          <w:bCs/>
          <w:szCs w:val="18"/>
          <w:u w:val="single"/>
        </w:rPr>
        <w:t>Krycí list nabídky</w:t>
      </w:r>
      <w:bookmarkEnd w:id="15"/>
    </w:p>
    <w:p w14:paraId="793A400A" w14:textId="77777777"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bookmarkStart w:id="17" w:name="_Ref61431381"/>
      <w:r w:rsidRPr="004646BB">
        <w:rPr>
          <w:rFonts w:eastAsia="Verdana" w:cs="Times New Roman"/>
          <w:bCs/>
          <w:szCs w:val="18"/>
          <w:u w:val="single"/>
        </w:rPr>
        <w:lastRenderedPageBreak/>
        <w:t>Čestné prohlášení ve vztahu k zákonu o registru smluv</w:t>
      </w:r>
      <w:bookmarkEnd w:id="17"/>
    </w:p>
    <w:p w14:paraId="4AB7AF0D" w14:textId="53099C0A"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bookmarkStart w:id="18" w:name="_Ref100325879"/>
      <w:bookmarkStart w:id="19" w:name="_Ref61431136"/>
      <w:r w:rsidRPr="004646BB">
        <w:rPr>
          <w:rFonts w:eastAsia="Verdana" w:cs="Times New Roman"/>
          <w:bCs/>
          <w:szCs w:val="18"/>
          <w:u w:val="single"/>
        </w:rPr>
        <w:t>Závazný vzor smlouvy</w:t>
      </w:r>
      <w:bookmarkEnd w:id="18"/>
      <w:bookmarkEnd w:id="19"/>
    </w:p>
    <w:p w14:paraId="03C36376" w14:textId="27795A80" w:rsidR="00445024" w:rsidRPr="004646BB" w:rsidRDefault="00E91642" w:rsidP="00F2166E">
      <w:pPr>
        <w:numPr>
          <w:ilvl w:val="0"/>
          <w:numId w:val="12"/>
        </w:numPr>
        <w:spacing w:before="0" w:after="0" w:line="360" w:lineRule="auto"/>
        <w:ind w:left="1985" w:hanging="709"/>
        <w:contextualSpacing/>
        <w:rPr>
          <w:rFonts w:eastAsia="Verdana" w:cs="Times New Roman"/>
          <w:bCs/>
          <w:szCs w:val="18"/>
          <w:u w:val="single"/>
        </w:rPr>
      </w:pPr>
      <w:bookmarkStart w:id="20" w:name="_Ref61425051"/>
      <w:r>
        <w:rPr>
          <w:rFonts w:eastAsia="Verdana" w:cs="Times New Roman"/>
          <w:bCs/>
          <w:szCs w:val="18"/>
          <w:u w:val="single"/>
        </w:rPr>
        <w:t>K</w:t>
      </w:r>
      <w:r w:rsidR="00BC65EE">
        <w:rPr>
          <w:rFonts w:eastAsia="Verdana" w:cs="Times New Roman"/>
          <w:bCs/>
          <w:szCs w:val="18"/>
          <w:u w:val="single"/>
        </w:rPr>
        <w:t>valifikace dodavatele</w:t>
      </w:r>
      <w:bookmarkEnd w:id="20"/>
    </w:p>
    <w:p w14:paraId="79CB6242" w14:textId="32B41B5A"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bookmarkStart w:id="21" w:name="_Ref61424464"/>
      <w:r w:rsidRPr="004646BB">
        <w:rPr>
          <w:rFonts w:eastAsia="Verdana" w:cs="Times New Roman"/>
          <w:bCs/>
          <w:szCs w:val="18"/>
          <w:u w:val="single"/>
        </w:rPr>
        <w:t>Vzor životopisu</w:t>
      </w:r>
      <w:r w:rsidR="00AA2629">
        <w:rPr>
          <w:rFonts w:eastAsia="Verdana" w:cs="Times New Roman"/>
          <w:bCs/>
          <w:szCs w:val="18"/>
          <w:u w:val="single"/>
        </w:rPr>
        <w:t xml:space="preserve"> – </w:t>
      </w:r>
      <w:r w:rsidR="00AA2629" w:rsidRPr="00AA2629">
        <w:rPr>
          <w:rFonts w:eastAsia="Verdana" w:cs="Times New Roman"/>
          <w:bCs/>
          <w:szCs w:val="18"/>
          <w:u w:val="single"/>
        </w:rPr>
        <w:t>Zkušenosti</w:t>
      </w:r>
      <w:r w:rsidRPr="004646BB">
        <w:rPr>
          <w:rFonts w:eastAsia="Verdana" w:cs="Times New Roman"/>
          <w:bCs/>
          <w:szCs w:val="18"/>
          <w:u w:val="single"/>
        </w:rPr>
        <w:t xml:space="preserve"> člen</w:t>
      </w:r>
      <w:r w:rsidR="00AA2629">
        <w:rPr>
          <w:rFonts w:eastAsia="Verdana" w:cs="Times New Roman"/>
          <w:bCs/>
          <w:szCs w:val="18"/>
          <w:u w:val="single"/>
        </w:rPr>
        <w:t>ů</w:t>
      </w:r>
      <w:r w:rsidRPr="004646BB">
        <w:rPr>
          <w:rFonts w:eastAsia="Verdana" w:cs="Times New Roman"/>
          <w:bCs/>
          <w:szCs w:val="18"/>
          <w:u w:val="single"/>
        </w:rPr>
        <w:t xml:space="preserve"> realizačního týmu</w:t>
      </w:r>
      <w:bookmarkEnd w:id="21"/>
      <w:r w:rsidR="00AA2629">
        <w:rPr>
          <w:rFonts w:eastAsia="Verdana" w:cs="Times New Roman"/>
          <w:bCs/>
          <w:szCs w:val="18"/>
          <w:u w:val="single"/>
        </w:rPr>
        <w:t xml:space="preserve"> </w:t>
      </w:r>
      <w:r w:rsidR="00AA2629" w:rsidRPr="00AA2629">
        <w:rPr>
          <w:rFonts w:eastAsia="Verdana" w:cs="Times New Roman"/>
          <w:bCs/>
          <w:szCs w:val="18"/>
          <w:u w:val="single"/>
        </w:rPr>
        <w:t>pro účely hodnocení</w:t>
      </w:r>
    </w:p>
    <w:p w14:paraId="0A856741" w14:textId="77777777"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r w:rsidRPr="004646BB">
        <w:rPr>
          <w:rFonts w:eastAsia="Verdana" w:cs="Times New Roman"/>
          <w:bCs/>
          <w:szCs w:val="18"/>
          <w:u w:val="single"/>
        </w:rPr>
        <w:t>Odbornost dodavatele</w:t>
      </w:r>
    </w:p>
    <w:p w14:paraId="3AD6E408" w14:textId="77777777"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r w:rsidRPr="004646BB">
        <w:rPr>
          <w:rFonts w:eastAsia="Verdana" w:cs="Times New Roman"/>
          <w:bCs/>
          <w:szCs w:val="18"/>
          <w:u w:val="single"/>
        </w:rPr>
        <w:t>Cenová nabídka</w:t>
      </w:r>
    </w:p>
    <w:p w14:paraId="60F6E251" w14:textId="77777777" w:rsidR="00445024" w:rsidRPr="004646BB" w:rsidRDefault="00445024" w:rsidP="00F2166E">
      <w:pPr>
        <w:numPr>
          <w:ilvl w:val="0"/>
          <w:numId w:val="12"/>
        </w:numPr>
        <w:spacing w:before="0" w:after="0" w:line="360" w:lineRule="auto"/>
        <w:ind w:left="1985" w:hanging="709"/>
        <w:contextualSpacing/>
        <w:rPr>
          <w:rFonts w:eastAsia="Verdana" w:cs="Times New Roman"/>
          <w:bCs/>
          <w:szCs w:val="18"/>
          <w:u w:val="single"/>
        </w:rPr>
      </w:pPr>
      <w:r w:rsidRPr="004646BB">
        <w:rPr>
          <w:rFonts w:eastAsia="Verdana" w:cs="Times New Roman"/>
          <w:bCs/>
          <w:szCs w:val="18"/>
          <w:u w:val="single"/>
        </w:rPr>
        <w:t>Poddodavatelé</w:t>
      </w:r>
    </w:p>
    <w:p w14:paraId="407B5565" w14:textId="458057E3" w:rsidR="00445024" w:rsidRDefault="00445024" w:rsidP="00F2166E">
      <w:pPr>
        <w:numPr>
          <w:ilvl w:val="0"/>
          <w:numId w:val="12"/>
        </w:numPr>
        <w:spacing w:before="0" w:after="0" w:line="360" w:lineRule="auto"/>
        <w:ind w:left="1985" w:hanging="709"/>
        <w:contextualSpacing/>
        <w:rPr>
          <w:rFonts w:eastAsia="Verdana" w:cs="Times New Roman"/>
          <w:bCs/>
          <w:szCs w:val="18"/>
          <w:u w:val="single"/>
        </w:rPr>
      </w:pPr>
      <w:r w:rsidRPr="004646BB">
        <w:rPr>
          <w:rFonts w:eastAsia="Verdana" w:cs="Times New Roman"/>
          <w:bCs/>
          <w:szCs w:val="18"/>
          <w:u w:val="single"/>
        </w:rPr>
        <w:t>Vyhodnocení PTK</w:t>
      </w:r>
    </w:p>
    <w:p w14:paraId="1F806692" w14:textId="12E505D8" w:rsidR="00F2166E" w:rsidRPr="004646BB" w:rsidRDefault="00F2166E" w:rsidP="00F2166E">
      <w:pPr>
        <w:numPr>
          <w:ilvl w:val="0"/>
          <w:numId w:val="12"/>
        </w:numPr>
        <w:spacing w:before="0" w:after="0" w:line="360" w:lineRule="auto"/>
        <w:ind w:left="1985" w:hanging="709"/>
        <w:contextualSpacing/>
        <w:rPr>
          <w:rFonts w:eastAsia="Verdana" w:cs="Times New Roman"/>
          <w:bCs/>
          <w:szCs w:val="18"/>
          <w:u w:val="single"/>
        </w:rPr>
      </w:pPr>
      <w:r w:rsidRPr="00F2166E">
        <w:rPr>
          <w:rFonts w:eastAsia="Verdana" w:cs="Times New Roman"/>
          <w:bCs/>
          <w:szCs w:val="18"/>
          <w:u w:val="single"/>
        </w:rPr>
        <w:t>Studie proveditelnosti PPP Projekt Nemanice – Ševětín</w:t>
      </w:r>
    </w:p>
    <w:bookmarkEnd w:id="16"/>
    <w:p w14:paraId="178FF7CD" w14:textId="77777777" w:rsidR="008B333C" w:rsidRPr="00445024" w:rsidRDefault="008B333C" w:rsidP="00445024">
      <w:pPr>
        <w:suppressAutoHyphens/>
        <w:spacing w:after="240" w:line="264" w:lineRule="auto"/>
        <w:ind w:left="0"/>
        <w:rPr>
          <w:rFonts w:eastAsia="Verdana" w:cs="Times New Roman"/>
          <w:noProof/>
          <w:szCs w:val="18"/>
        </w:rPr>
      </w:pPr>
    </w:p>
    <w:p w14:paraId="5C8BAD17" w14:textId="77777777" w:rsidR="008B333C" w:rsidRPr="008B333C" w:rsidRDefault="008B333C" w:rsidP="00725912">
      <w:pPr>
        <w:suppressAutoHyphens/>
        <w:spacing w:after="240" w:line="264" w:lineRule="auto"/>
        <w:ind w:left="207"/>
        <w:rPr>
          <w:rFonts w:eastAsia="Verdana" w:cs="Times New Roman"/>
          <w:noProof/>
          <w:szCs w:val="18"/>
        </w:rPr>
      </w:pPr>
    </w:p>
    <w:p w14:paraId="28EA2AFB" w14:textId="086F6E13" w:rsidR="001D5914" w:rsidRDefault="001D5914" w:rsidP="00725912">
      <w:pPr>
        <w:pStyle w:val="Odstavecseseznamem"/>
        <w:suppressAutoHyphens/>
        <w:spacing w:after="240" w:line="264" w:lineRule="auto"/>
        <w:ind w:left="1287"/>
        <w:rPr>
          <w:rFonts w:eastAsia="Verdana" w:cs="Times New Roman"/>
          <w:noProof/>
          <w:szCs w:val="18"/>
          <w:highlight w:val="yellow"/>
        </w:rPr>
      </w:pPr>
    </w:p>
    <w:p w14:paraId="36B8FCFC" w14:textId="77777777" w:rsidR="002C2967" w:rsidRDefault="002C2967" w:rsidP="00725912">
      <w:pPr>
        <w:suppressAutoHyphens/>
        <w:spacing w:after="0" w:line="264" w:lineRule="auto"/>
        <w:ind w:left="0"/>
        <w:rPr>
          <w:rFonts w:eastAsia="Verdana" w:cs="Times New Roman"/>
          <w:noProof/>
          <w:szCs w:val="18"/>
        </w:rPr>
      </w:pPr>
    </w:p>
    <w:p w14:paraId="3AEC93DA" w14:textId="2C5E2B80" w:rsidR="002C2967" w:rsidRPr="002C2967" w:rsidRDefault="002C2967" w:rsidP="00725912">
      <w:pPr>
        <w:pStyle w:val="Textbezslovn"/>
        <w:spacing w:after="0"/>
        <w:ind w:left="284"/>
        <w:rPr>
          <w:rFonts w:ascii="Verdana" w:hAnsi="Verdana" w:cs="Calibri"/>
        </w:rPr>
      </w:pPr>
      <w:r w:rsidRPr="002C2967">
        <w:rPr>
          <w:rFonts w:ascii="Verdana" w:hAnsi="Verdana" w:cs="Calibri"/>
        </w:rPr>
        <w:t>……………………………………………</w:t>
      </w:r>
    </w:p>
    <w:p w14:paraId="20122AF1" w14:textId="77777777" w:rsidR="00866B96" w:rsidRPr="00866B96" w:rsidRDefault="00866B96" w:rsidP="00866B96">
      <w:pPr>
        <w:pStyle w:val="Textbezslovn"/>
        <w:spacing w:after="0"/>
        <w:ind w:left="284"/>
        <w:rPr>
          <w:rFonts w:ascii="Verdana" w:hAnsi="Verdana"/>
          <w:b/>
          <w:bCs/>
        </w:rPr>
      </w:pPr>
      <w:r w:rsidRPr="00866B96">
        <w:rPr>
          <w:rFonts w:ascii="Verdana" w:hAnsi="Verdana"/>
          <w:b/>
          <w:bCs/>
        </w:rPr>
        <w:t>Ing. Mojmír Nejezchleb</w:t>
      </w:r>
    </w:p>
    <w:p w14:paraId="7406236F" w14:textId="77777777" w:rsidR="00866B96" w:rsidRPr="00866B96" w:rsidRDefault="00866B96" w:rsidP="00866B96">
      <w:pPr>
        <w:pStyle w:val="Textbezslovn"/>
        <w:spacing w:after="0"/>
        <w:ind w:left="284"/>
        <w:rPr>
          <w:rFonts w:ascii="Verdana" w:hAnsi="Verdana"/>
        </w:rPr>
      </w:pPr>
      <w:r w:rsidRPr="00866B96">
        <w:rPr>
          <w:rFonts w:ascii="Verdana" w:hAnsi="Verdana"/>
        </w:rPr>
        <w:t>náměstek generálního ředitele pro modernizaci dráhy</w:t>
      </w:r>
    </w:p>
    <w:p w14:paraId="2A8A48E5" w14:textId="77777777" w:rsidR="00866B96" w:rsidRPr="00866B96" w:rsidRDefault="00866B96" w:rsidP="00866B96">
      <w:pPr>
        <w:pStyle w:val="Textbezslovn"/>
        <w:spacing w:after="0"/>
        <w:ind w:left="284"/>
        <w:rPr>
          <w:rFonts w:ascii="Verdana" w:hAnsi="Verdana"/>
        </w:rPr>
      </w:pPr>
      <w:r w:rsidRPr="00866B96">
        <w:rPr>
          <w:rFonts w:ascii="Verdana" w:hAnsi="Verdana"/>
        </w:rPr>
        <w:t>Správa železnic, státní organizace</w:t>
      </w:r>
    </w:p>
    <w:p w14:paraId="634142E4" w14:textId="472A402B" w:rsidR="003727EC" w:rsidRPr="00697885" w:rsidRDefault="003727EC" w:rsidP="00725912">
      <w:pPr>
        <w:suppressAutoHyphens/>
        <w:spacing w:after="0" w:line="264" w:lineRule="auto"/>
        <w:ind w:left="0"/>
        <w:rPr>
          <w:rFonts w:eastAsia="Verdana" w:cs="Times New Roman"/>
          <w:szCs w:val="18"/>
        </w:rPr>
      </w:pPr>
    </w:p>
    <w:sectPr w:rsidR="003727EC" w:rsidRPr="00697885" w:rsidSect="00544C4F">
      <w:headerReference w:type="default" r:id="rId16"/>
      <w:footerReference w:type="default" r:id="rId17"/>
      <w:headerReference w:type="first" r:id="rId18"/>
      <w:footerReference w:type="first" r:id="rId19"/>
      <w:pgSz w:w="11906" w:h="16838" w:code="9"/>
      <w:pgMar w:top="21"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469E4" w14:textId="77777777" w:rsidR="00CF33B7" w:rsidRDefault="00CF33B7" w:rsidP="005D636E">
      <w:pPr>
        <w:spacing w:after="0" w:line="240" w:lineRule="auto"/>
      </w:pPr>
      <w:r>
        <w:separator/>
      </w:r>
    </w:p>
    <w:p w14:paraId="48FF1609" w14:textId="77777777" w:rsidR="00CF33B7" w:rsidRDefault="00CF33B7"/>
  </w:endnote>
  <w:endnote w:type="continuationSeparator" w:id="0">
    <w:p w14:paraId="197423C9" w14:textId="77777777" w:rsidR="00CF33B7" w:rsidRDefault="00CF33B7" w:rsidP="005D636E">
      <w:pPr>
        <w:spacing w:after="0" w:line="240" w:lineRule="auto"/>
      </w:pPr>
      <w:r>
        <w:continuationSeparator/>
      </w:r>
    </w:p>
    <w:p w14:paraId="178D8EE5" w14:textId="77777777" w:rsidR="00CF33B7" w:rsidRDefault="00CF3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4CE7" w14:paraId="7620DFD8" w14:textId="77777777" w:rsidTr="005D636E">
      <w:tc>
        <w:tcPr>
          <w:tcW w:w="1361" w:type="dxa"/>
          <w:tcMar>
            <w:left w:w="0" w:type="dxa"/>
            <w:right w:w="0" w:type="dxa"/>
          </w:tcMar>
          <w:vAlign w:val="bottom"/>
        </w:tcPr>
        <w:p w14:paraId="28A55569" w14:textId="0C4F31F5" w:rsidR="00494CE7" w:rsidRPr="00B8518B" w:rsidRDefault="00494CE7"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F34DD">
            <w:rPr>
              <w:rStyle w:val="slostrnky1"/>
              <w:noProof/>
            </w:rPr>
            <w:t>49</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F34DD">
            <w:rPr>
              <w:rStyle w:val="slostrnky1"/>
              <w:noProof/>
            </w:rPr>
            <w:t>50</w:t>
          </w:r>
          <w:r w:rsidRPr="00B8518B">
            <w:rPr>
              <w:rStyle w:val="slostrnky1"/>
            </w:rPr>
            <w:fldChar w:fldCharType="end"/>
          </w:r>
        </w:p>
      </w:tc>
      <w:tc>
        <w:tcPr>
          <w:tcW w:w="3458" w:type="dxa"/>
          <w:shd w:val="clear" w:color="auto" w:fill="auto"/>
          <w:tcMar>
            <w:left w:w="0" w:type="dxa"/>
            <w:right w:w="0" w:type="dxa"/>
          </w:tcMar>
        </w:tcPr>
        <w:p w14:paraId="69CA59E9" w14:textId="77777777" w:rsidR="00494CE7" w:rsidRDefault="00494CE7" w:rsidP="005D636E">
          <w:pPr>
            <w:pStyle w:val="Zpat"/>
          </w:pPr>
        </w:p>
      </w:tc>
      <w:tc>
        <w:tcPr>
          <w:tcW w:w="2835" w:type="dxa"/>
          <w:shd w:val="clear" w:color="auto" w:fill="auto"/>
          <w:tcMar>
            <w:left w:w="0" w:type="dxa"/>
            <w:right w:w="0" w:type="dxa"/>
          </w:tcMar>
        </w:tcPr>
        <w:p w14:paraId="12E82566" w14:textId="77777777" w:rsidR="00494CE7" w:rsidRDefault="00494CE7" w:rsidP="005D636E">
          <w:pPr>
            <w:pStyle w:val="Zpat"/>
          </w:pPr>
        </w:p>
      </w:tc>
      <w:tc>
        <w:tcPr>
          <w:tcW w:w="2921" w:type="dxa"/>
        </w:tcPr>
        <w:p w14:paraId="6EEF8727" w14:textId="77777777" w:rsidR="00494CE7" w:rsidRDefault="00494CE7" w:rsidP="005D636E">
          <w:pPr>
            <w:pStyle w:val="Zpat"/>
          </w:pPr>
        </w:p>
      </w:tc>
    </w:tr>
  </w:tbl>
  <w:p w14:paraId="66386B43" w14:textId="77777777" w:rsidR="00494CE7" w:rsidRPr="00B8518B" w:rsidRDefault="00494CE7"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364B7F"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15EDD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0CF7F2CD" w14:textId="77777777" w:rsidR="00494CE7" w:rsidRDefault="00494C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1"/>
      <w:gridCol w:w="61"/>
      <w:gridCol w:w="231"/>
    </w:tblGrid>
    <w:tr w:rsidR="00494CE7"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494CE7" w14:paraId="7D806537" w14:textId="77777777" w:rsidTr="00334C8D">
            <w:trPr>
              <w:trHeight w:val="678"/>
            </w:trPr>
            <w:tc>
              <w:tcPr>
                <w:tcW w:w="1361" w:type="dxa"/>
                <w:tcMar>
                  <w:left w:w="0" w:type="dxa"/>
                  <w:right w:w="0" w:type="dxa"/>
                </w:tcMar>
                <w:vAlign w:val="bottom"/>
              </w:tcPr>
              <w:p w14:paraId="098C40C4" w14:textId="6F104804" w:rsidR="00494CE7" w:rsidRPr="00334C8D" w:rsidRDefault="00494CE7"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F67A4A">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F67A4A">
                  <w:rPr>
                    <w:rStyle w:val="slostrnky"/>
                    <w:b/>
                    <w:noProof/>
                    <w:color w:val="FF5200"/>
                    <w:sz w:val="14"/>
                    <w:szCs w:val="14"/>
                  </w:rPr>
                  <w:t>50</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494CE7" w:rsidRPr="00334C8D" w:rsidRDefault="00494CE7" w:rsidP="00334C8D">
                <w:pPr>
                  <w:pStyle w:val="Zpat"/>
                  <w:spacing w:before="0"/>
                  <w:ind w:left="0"/>
                  <w:rPr>
                    <w:sz w:val="12"/>
                    <w:szCs w:val="12"/>
                  </w:rPr>
                </w:pPr>
                <w:r w:rsidRPr="00334C8D">
                  <w:rPr>
                    <w:sz w:val="12"/>
                    <w:szCs w:val="12"/>
                  </w:rPr>
                  <w:t>Správa železnic, státní organizace</w:t>
                </w:r>
              </w:p>
              <w:p w14:paraId="036B2406" w14:textId="77777777" w:rsidR="00494CE7" w:rsidRPr="00334C8D" w:rsidRDefault="00494CE7"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494CE7" w:rsidRPr="00334C8D" w:rsidRDefault="00494CE7"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494CE7" w:rsidRPr="00334C8D" w:rsidRDefault="00494CE7" w:rsidP="00334C8D">
                <w:pPr>
                  <w:pStyle w:val="Zpat"/>
                  <w:spacing w:before="0"/>
                  <w:ind w:left="0" w:right="-3487"/>
                  <w:rPr>
                    <w:sz w:val="12"/>
                    <w:szCs w:val="12"/>
                  </w:rPr>
                </w:pPr>
                <w:r w:rsidRPr="00334C8D">
                  <w:rPr>
                    <w:sz w:val="12"/>
                    <w:szCs w:val="12"/>
                  </w:rPr>
                  <w:t>Sídlo: Dlážděná 1003/7, 110 00 Praha 1</w:t>
                </w:r>
              </w:p>
              <w:p w14:paraId="3A8F7BC0" w14:textId="77777777" w:rsidR="00494CE7" w:rsidRPr="00334C8D" w:rsidRDefault="00494CE7" w:rsidP="00334C8D">
                <w:pPr>
                  <w:pStyle w:val="Zpat"/>
                  <w:spacing w:before="0"/>
                  <w:ind w:left="0"/>
                  <w:rPr>
                    <w:sz w:val="12"/>
                    <w:szCs w:val="12"/>
                  </w:rPr>
                </w:pPr>
                <w:r w:rsidRPr="00334C8D">
                  <w:rPr>
                    <w:sz w:val="12"/>
                    <w:szCs w:val="12"/>
                  </w:rPr>
                  <w:t>IČ: 709 94 234 DIČ: CZ 709 94 234</w:t>
                </w:r>
              </w:p>
              <w:p w14:paraId="2D8B3C3C" w14:textId="4C266FD7" w:rsidR="00494CE7" w:rsidRPr="00334C8D" w:rsidRDefault="00494CE7"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494CE7" w:rsidRDefault="00494CE7" w:rsidP="00334C8D">
                <w:pPr>
                  <w:pStyle w:val="Zpat"/>
                  <w:spacing w:before="0"/>
                </w:pPr>
              </w:p>
            </w:tc>
          </w:tr>
        </w:tbl>
        <w:p w14:paraId="41B7FADF" w14:textId="77777777" w:rsidR="00494CE7" w:rsidRPr="00B8518B" w:rsidRDefault="00494CE7" w:rsidP="005D636E">
          <w:pPr>
            <w:pStyle w:val="Zpat"/>
            <w:rPr>
              <w:rStyle w:val="slostrnky1"/>
            </w:rPr>
          </w:pPr>
        </w:p>
      </w:tc>
      <w:tc>
        <w:tcPr>
          <w:tcW w:w="3458" w:type="dxa"/>
          <w:shd w:val="clear" w:color="auto" w:fill="auto"/>
          <w:tcMar>
            <w:left w:w="0" w:type="dxa"/>
            <w:right w:w="0" w:type="dxa"/>
          </w:tcMar>
        </w:tcPr>
        <w:p w14:paraId="4A201BA5" w14:textId="77777777" w:rsidR="00494CE7" w:rsidRDefault="00494CE7" w:rsidP="005D636E">
          <w:pPr>
            <w:pStyle w:val="Zpat"/>
          </w:pPr>
        </w:p>
      </w:tc>
      <w:tc>
        <w:tcPr>
          <w:tcW w:w="2835" w:type="dxa"/>
          <w:shd w:val="clear" w:color="auto" w:fill="auto"/>
          <w:tcMar>
            <w:left w:w="0" w:type="dxa"/>
            <w:right w:w="0" w:type="dxa"/>
          </w:tcMar>
        </w:tcPr>
        <w:p w14:paraId="4CD17297" w14:textId="77777777" w:rsidR="00494CE7" w:rsidRDefault="00494CE7" w:rsidP="005D636E">
          <w:pPr>
            <w:pStyle w:val="Zpat"/>
          </w:pPr>
        </w:p>
      </w:tc>
      <w:tc>
        <w:tcPr>
          <w:tcW w:w="2921" w:type="dxa"/>
        </w:tcPr>
        <w:p w14:paraId="1A25E90B" w14:textId="77777777" w:rsidR="00494CE7" w:rsidRDefault="00494CE7" w:rsidP="005D636E">
          <w:pPr>
            <w:pStyle w:val="Zpat"/>
          </w:pPr>
        </w:p>
      </w:tc>
    </w:tr>
  </w:tbl>
  <w:p w14:paraId="6E2E844A" w14:textId="77777777" w:rsidR="00494CE7" w:rsidRPr="00B8518B" w:rsidRDefault="00494CE7"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75B2635"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8FAEC0A"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494CE7" w:rsidRPr="00460660" w:rsidRDefault="00494CE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BD9D2" w14:textId="77777777" w:rsidR="00CF33B7" w:rsidRDefault="00CF33B7" w:rsidP="005D636E">
      <w:pPr>
        <w:spacing w:after="0" w:line="240" w:lineRule="auto"/>
      </w:pPr>
      <w:r>
        <w:separator/>
      </w:r>
    </w:p>
    <w:p w14:paraId="2DB032AB" w14:textId="77777777" w:rsidR="00CF33B7" w:rsidRDefault="00CF33B7"/>
  </w:footnote>
  <w:footnote w:type="continuationSeparator" w:id="0">
    <w:p w14:paraId="6F0155F2" w14:textId="77777777" w:rsidR="00CF33B7" w:rsidRDefault="00CF33B7" w:rsidP="005D636E">
      <w:pPr>
        <w:spacing w:after="0" w:line="240" w:lineRule="auto"/>
      </w:pPr>
      <w:r>
        <w:continuationSeparator/>
      </w:r>
    </w:p>
    <w:p w14:paraId="214B0679" w14:textId="77777777" w:rsidR="00CF33B7" w:rsidRDefault="00CF33B7"/>
  </w:footnote>
  <w:footnote w:id="1">
    <w:p w14:paraId="45CBCBAA" w14:textId="77777777" w:rsidR="00494CE7" w:rsidRPr="009A5E7B" w:rsidRDefault="00494CE7" w:rsidP="00EA0D60">
      <w:pPr>
        <w:pStyle w:val="Textpoznpodarou"/>
        <w:jc w:val="both"/>
        <w:rPr>
          <w:sz w:val="14"/>
          <w:szCs w:val="14"/>
        </w:rPr>
      </w:pPr>
      <w:r w:rsidRPr="009A5E7B">
        <w:rPr>
          <w:rStyle w:val="Znakapoznpodarou"/>
          <w:sz w:val="14"/>
          <w:szCs w:val="14"/>
        </w:rPr>
        <w:footnoteRef/>
      </w:r>
      <w:r w:rsidRPr="009A5E7B">
        <w:rPr>
          <w:sz w:val="14"/>
          <w:szCs w:val="14"/>
        </w:rPr>
        <w:t xml:space="preserve"> Dostupné na </w:t>
      </w:r>
      <w:hyperlink r:id="rId1" w:history="1">
        <w:r w:rsidRPr="009A5E7B">
          <w:rPr>
            <w:rStyle w:val="Hypertextovodkaz"/>
            <w:sz w:val="14"/>
            <w:szCs w:val="14"/>
          </w:rPr>
          <w:t>https://www.cnb.cz/cs/financni-trhy/devizovy-trh/kurzy-devizoveho-trhu/kurzy-devizoveho-trhu/</w:t>
        </w:r>
      </w:hyperlink>
    </w:p>
  </w:footnote>
  <w:footnote w:id="2">
    <w:p w14:paraId="2CCD206A" w14:textId="77777777" w:rsidR="00494CE7" w:rsidRPr="009A5E7B" w:rsidRDefault="00494CE7" w:rsidP="00376897">
      <w:pPr>
        <w:pStyle w:val="Textpoznpodarou"/>
        <w:jc w:val="both"/>
        <w:rPr>
          <w:sz w:val="14"/>
          <w:szCs w:val="14"/>
        </w:rPr>
      </w:pPr>
      <w:r w:rsidRPr="009A5E7B">
        <w:rPr>
          <w:rStyle w:val="Znakapoznpodarou"/>
          <w:sz w:val="14"/>
          <w:szCs w:val="14"/>
        </w:rPr>
        <w:footnoteRef/>
      </w:r>
      <w:r w:rsidRPr="009A5E7B">
        <w:rPr>
          <w:sz w:val="14"/>
          <w:szCs w:val="14"/>
        </w:rPr>
        <w:t xml:space="preserve"> Dostupné na </w:t>
      </w:r>
      <w:hyperlink r:id="rId2" w:history="1">
        <w:r w:rsidRPr="009A5E7B">
          <w:rPr>
            <w:rStyle w:val="Hypertextovodkaz"/>
            <w:sz w:val="14"/>
            <w:szCs w:val="14"/>
          </w:rPr>
          <w:t>https://www.cnb.cz/cs/financni-trhy/devizovy-trh/kurzy-devizoveho-trhu/kurzy-devizoveho-trhu/</w:t>
        </w:r>
      </w:hyperlink>
    </w:p>
  </w:footnote>
  <w:footnote w:id="3">
    <w:p w14:paraId="6167FAC3" w14:textId="101F9F9F" w:rsidR="009A5E7B" w:rsidRPr="009A5E7B" w:rsidRDefault="009A5E7B" w:rsidP="009A5E7B">
      <w:pPr>
        <w:pStyle w:val="Textpoznpodarou"/>
        <w:jc w:val="both"/>
        <w:rPr>
          <w:sz w:val="14"/>
          <w:szCs w:val="14"/>
        </w:rPr>
      </w:pPr>
      <w:r w:rsidRPr="009A5E7B">
        <w:rPr>
          <w:rStyle w:val="Znakapoznpodarou"/>
          <w:sz w:val="14"/>
          <w:szCs w:val="14"/>
        </w:rPr>
        <w:footnoteRef/>
      </w:r>
      <w:r w:rsidRPr="009A5E7B">
        <w:rPr>
          <w:sz w:val="14"/>
          <w:szCs w:val="14"/>
        </w:rPr>
        <w:t xml:space="preserve"> V případě, že </w:t>
      </w:r>
      <w:r>
        <w:rPr>
          <w:sz w:val="14"/>
          <w:szCs w:val="14"/>
        </w:rPr>
        <w:t xml:space="preserve">dodavatel prokazoval pro účely technické kvalifikace profesní praxi člena týmu v souvislosti </w:t>
      </w:r>
      <w:r w:rsidRPr="009A5E7B">
        <w:rPr>
          <w:sz w:val="14"/>
          <w:szCs w:val="14"/>
        </w:rPr>
        <w:t xml:space="preserve">s poskytováním poradenství souvisejícího s realizací </w:t>
      </w:r>
      <w:r>
        <w:rPr>
          <w:sz w:val="14"/>
          <w:szCs w:val="14"/>
        </w:rPr>
        <w:t xml:space="preserve">určitých </w:t>
      </w:r>
      <w:r w:rsidRPr="009A5E7B">
        <w:rPr>
          <w:sz w:val="14"/>
          <w:szCs w:val="14"/>
        </w:rPr>
        <w:t>PPP projekt</w:t>
      </w:r>
      <w:r>
        <w:rPr>
          <w:sz w:val="14"/>
          <w:szCs w:val="14"/>
        </w:rPr>
        <w:t>ů, nemůže již tyto PPP projekty v souvislosti s členem týmu předložit pro účely hodnocení.</w:t>
      </w:r>
    </w:p>
  </w:footnote>
  <w:footnote w:id="4">
    <w:p w14:paraId="480774D6" w14:textId="5A958EF4" w:rsidR="007A2941" w:rsidRPr="009A5E7B" w:rsidRDefault="007A2941" w:rsidP="009A5E7B">
      <w:pPr>
        <w:pStyle w:val="Textpoznpodarou"/>
        <w:jc w:val="both"/>
        <w:rPr>
          <w:sz w:val="14"/>
          <w:szCs w:val="14"/>
        </w:rPr>
      </w:pPr>
      <w:r w:rsidRPr="009A5E7B">
        <w:rPr>
          <w:rStyle w:val="Znakapoznpodarou"/>
          <w:sz w:val="14"/>
          <w:szCs w:val="14"/>
        </w:rPr>
        <w:footnoteRef/>
      </w:r>
      <w:r w:rsidRPr="009A5E7B">
        <w:rPr>
          <w:sz w:val="14"/>
          <w:szCs w:val="14"/>
        </w:rPr>
        <w:t xml:space="preserve"> V případě, že </w:t>
      </w:r>
      <w:r>
        <w:rPr>
          <w:sz w:val="14"/>
          <w:szCs w:val="14"/>
        </w:rPr>
        <w:t xml:space="preserve">dodavatel prokazoval pro účely technické kvalifikace </w:t>
      </w:r>
      <w:r w:rsidR="00E76E8A">
        <w:rPr>
          <w:sz w:val="14"/>
          <w:szCs w:val="14"/>
        </w:rPr>
        <w:t>zkušenosti</w:t>
      </w:r>
      <w:r>
        <w:rPr>
          <w:sz w:val="14"/>
          <w:szCs w:val="14"/>
        </w:rPr>
        <w:t xml:space="preserve"> člena týmu v souvislosti </w:t>
      </w:r>
      <w:r w:rsidRPr="009A5E7B">
        <w:rPr>
          <w:sz w:val="14"/>
          <w:szCs w:val="14"/>
        </w:rPr>
        <w:t xml:space="preserve">s poskytováním poradenství </w:t>
      </w:r>
      <w:r w:rsidR="00E76E8A">
        <w:rPr>
          <w:sz w:val="14"/>
          <w:szCs w:val="14"/>
        </w:rPr>
        <w:t>v rámci urči</w:t>
      </w:r>
      <w:r w:rsidR="00AF4411">
        <w:rPr>
          <w:sz w:val="14"/>
          <w:szCs w:val="14"/>
        </w:rPr>
        <w:t>tých</w:t>
      </w:r>
      <w:r w:rsidR="00E76E8A">
        <w:rPr>
          <w:sz w:val="14"/>
          <w:szCs w:val="14"/>
        </w:rPr>
        <w:t xml:space="preserve"> </w:t>
      </w:r>
      <w:r w:rsidRPr="009A5E7B">
        <w:rPr>
          <w:sz w:val="14"/>
          <w:szCs w:val="14"/>
        </w:rPr>
        <w:t>PPP projekt</w:t>
      </w:r>
      <w:r w:rsidR="00AF4411">
        <w:rPr>
          <w:sz w:val="14"/>
          <w:szCs w:val="14"/>
        </w:rPr>
        <w:t>ů</w:t>
      </w:r>
      <w:r>
        <w:rPr>
          <w:sz w:val="14"/>
          <w:szCs w:val="14"/>
        </w:rPr>
        <w:t>, nemůže již t</w:t>
      </w:r>
      <w:r w:rsidR="00AF4411">
        <w:rPr>
          <w:sz w:val="14"/>
          <w:szCs w:val="14"/>
        </w:rPr>
        <w:t>yto</w:t>
      </w:r>
      <w:r w:rsidR="00E76E8A">
        <w:rPr>
          <w:sz w:val="14"/>
          <w:szCs w:val="14"/>
        </w:rPr>
        <w:t xml:space="preserve"> </w:t>
      </w:r>
      <w:r>
        <w:rPr>
          <w:sz w:val="14"/>
          <w:szCs w:val="14"/>
        </w:rPr>
        <w:t>PPP projekt</w:t>
      </w:r>
      <w:r w:rsidR="00AF4411">
        <w:rPr>
          <w:sz w:val="14"/>
          <w:szCs w:val="14"/>
        </w:rPr>
        <w:t>y</w:t>
      </w:r>
      <w:r>
        <w:rPr>
          <w:sz w:val="14"/>
          <w:szCs w:val="14"/>
        </w:rPr>
        <w:t xml:space="preserve"> v souvislosti s členem týmu předložit pro účely hodnocení.</w:t>
      </w:r>
    </w:p>
  </w:footnote>
  <w:footnote w:id="5">
    <w:p w14:paraId="66869DF9" w14:textId="7FB855A8" w:rsidR="0016041E" w:rsidRPr="009A5E7B" w:rsidRDefault="0016041E" w:rsidP="009A5E7B">
      <w:pPr>
        <w:pStyle w:val="Textpoznpodarou"/>
        <w:jc w:val="both"/>
        <w:rPr>
          <w:sz w:val="14"/>
          <w:szCs w:val="14"/>
        </w:rPr>
      </w:pPr>
      <w:r w:rsidRPr="009A5E7B">
        <w:rPr>
          <w:rStyle w:val="Znakapoznpodarou"/>
          <w:sz w:val="14"/>
          <w:szCs w:val="14"/>
        </w:rPr>
        <w:footnoteRef/>
      </w:r>
      <w:r w:rsidRPr="009A5E7B">
        <w:rPr>
          <w:sz w:val="14"/>
          <w:szCs w:val="14"/>
        </w:rPr>
        <w:t xml:space="preserve"> V </w:t>
      </w:r>
      <w:r w:rsidR="00F05542" w:rsidRPr="00F05542">
        <w:rPr>
          <w:sz w:val="14"/>
          <w:szCs w:val="14"/>
        </w:rPr>
        <w:t>případě, že dodavatel prokazoval pro účely technické kvalifikace zkušenosti člena týmu v souvislosti s poskytováním poradenství v rámci určit</w:t>
      </w:r>
      <w:r w:rsidR="002557CD">
        <w:rPr>
          <w:sz w:val="14"/>
          <w:szCs w:val="14"/>
        </w:rPr>
        <w:t>ých</w:t>
      </w:r>
      <w:r w:rsidR="00F05542" w:rsidRPr="00F05542">
        <w:rPr>
          <w:sz w:val="14"/>
          <w:szCs w:val="14"/>
        </w:rPr>
        <w:t xml:space="preserve"> PPP projekt</w:t>
      </w:r>
      <w:r w:rsidR="002557CD">
        <w:rPr>
          <w:sz w:val="14"/>
          <w:szCs w:val="14"/>
        </w:rPr>
        <w:t>ů</w:t>
      </w:r>
      <w:r w:rsidR="00F05542" w:rsidRPr="00F05542">
        <w:rPr>
          <w:sz w:val="14"/>
          <w:szCs w:val="14"/>
        </w:rPr>
        <w:t>, nemůže již t</w:t>
      </w:r>
      <w:r w:rsidR="002557CD">
        <w:rPr>
          <w:sz w:val="14"/>
          <w:szCs w:val="14"/>
        </w:rPr>
        <w:t>yto</w:t>
      </w:r>
      <w:r w:rsidR="00F05542" w:rsidRPr="00F05542">
        <w:rPr>
          <w:sz w:val="14"/>
          <w:szCs w:val="14"/>
        </w:rPr>
        <w:t xml:space="preserve"> PPP projekt</w:t>
      </w:r>
      <w:r w:rsidR="002557CD">
        <w:rPr>
          <w:sz w:val="14"/>
          <w:szCs w:val="14"/>
        </w:rPr>
        <w:t>y</w:t>
      </w:r>
      <w:r w:rsidR="00F05542" w:rsidRPr="00F05542">
        <w:rPr>
          <w:sz w:val="14"/>
          <w:szCs w:val="14"/>
        </w:rPr>
        <w:t xml:space="preserve"> v souvislosti s členem týmu předložit pro účely hodnocení.</w:t>
      </w:r>
    </w:p>
  </w:footnote>
  <w:footnote w:id="6">
    <w:p w14:paraId="313D32AB" w14:textId="77777777" w:rsidR="00494CE7" w:rsidRPr="009A5E7B" w:rsidRDefault="00494CE7" w:rsidP="0077601A">
      <w:pPr>
        <w:pStyle w:val="Textpoznpodarou"/>
        <w:jc w:val="both"/>
        <w:rPr>
          <w:sz w:val="14"/>
          <w:szCs w:val="14"/>
        </w:rPr>
      </w:pPr>
      <w:r w:rsidRPr="009A5E7B">
        <w:rPr>
          <w:rStyle w:val="Znakapoznpodarou"/>
          <w:sz w:val="14"/>
          <w:szCs w:val="14"/>
        </w:rPr>
        <w:footnoteRef/>
      </w:r>
      <w:r w:rsidRPr="009A5E7B">
        <w:rPr>
          <w:sz w:val="14"/>
          <w:szCs w:val="14"/>
        </w:rPr>
        <w:t xml:space="preserve"> Zejm. Nařízení Rady (EU) 2022/576 ze dne 8. dubna 2022, kterým se mění nařízení (EU) č. 833/2014 o omezujících opatřeních vzhledem k činnostem Ruska destabilizujícím situaci na Ukrajině</w:t>
      </w:r>
    </w:p>
  </w:footnote>
  <w:footnote w:id="7">
    <w:p w14:paraId="13CD8AA3" w14:textId="77777777" w:rsidR="00494CE7" w:rsidRPr="009A5E7B" w:rsidRDefault="00494CE7" w:rsidP="0077601A">
      <w:pPr>
        <w:pStyle w:val="Textpoznpodarou"/>
        <w:jc w:val="both"/>
        <w:rPr>
          <w:sz w:val="14"/>
          <w:szCs w:val="14"/>
        </w:rPr>
      </w:pPr>
      <w:r w:rsidRPr="009A5E7B">
        <w:rPr>
          <w:rStyle w:val="Znakapoznpodarou"/>
          <w:sz w:val="14"/>
          <w:szCs w:val="14"/>
        </w:rPr>
        <w:footnoteRef/>
      </w:r>
      <w:r w:rsidRPr="009A5E7B">
        <w:rPr>
          <w:sz w:val="14"/>
          <w:szCs w:val="14"/>
        </w:rPr>
        <w:t xml:space="preserve"> 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CE7" w14:paraId="1198341F" w14:textId="77777777" w:rsidTr="006C5E1A">
      <w:trPr>
        <w:trHeight w:hRule="exact" w:val="1335"/>
      </w:trPr>
      <w:tc>
        <w:tcPr>
          <w:tcW w:w="1361" w:type="dxa"/>
          <w:tcMar>
            <w:top w:w="57" w:type="dxa"/>
            <w:left w:w="0" w:type="dxa"/>
            <w:right w:w="0" w:type="dxa"/>
          </w:tcMar>
        </w:tcPr>
        <w:p w14:paraId="609A2E66" w14:textId="77777777" w:rsidR="00494CE7" w:rsidRPr="00B8518B" w:rsidRDefault="00494CE7" w:rsidP="005D636E">
          <w:pPr>
            <w:pStyle w:val="Zpat"/>
            <w:rPr>
              <w:rStyle w:val="slostrnky1"/>
            </w:rPr>
          </w:pPr>
        </w:p>
      </w:tc>
      <w:tc>
        <w:tcPr>
          <w:tcW w:w="3458" w:type="dxa"/>
          <w:shd w:val="clear" w:color="auto" w:fill="auto"/>
          <w:tcMar>
            <w:top w:w="57" w:type="dxa"/>
            <w:left w:w="0" w:type="dxa"/>
            <w:right w:w="0" w:type="dxa"/>
          </w:tcMar>
        </w:tcPr>
        <w:p w14:paraId="15F2E230" w14:textId="77777777" w:rsidR="00494CE7" w:rsidRDefault="00494CE7" w:rsidP="006C5E1A">
          <w:pPr>
            <w:pStyle w:val="Zpat"/>
            <w:ind w:left="0"/>
          </w:pPr>
        </w:p>
      </w:tc>
      <w:tc>
        <w:tcPr>
          <w:tcW w:w="5698" w:type="dxa"/>
          <w:shd w:val="clear" w:color="auto" w:fill="auto"/>
          <w:tcMar>
            <w:top w:w="57" w:type="dxa"/>
            <w:left w:w="0" w:type="dxa"/>
            <w:right w:w="0" w:type="dxa"/>
          </w:tcMar>
        </w:tcPr>
        <w:p w14:paraId="21DC0AD4" w14:textId="75966B3F" w:rsidR="00494CE7" w:rsidRPr="00D6163D" w:rsidRDefault="00494CE7" w:rsidP="006C5E1A">
          <w:pPr>
            <w:pStyle w:val="Druhdokumentu"/>
            <w:jc w:val="left"/>
          </w:pPr>
        </w:p>
      </w:tc>
    </w:tr>
  </w:tbl>
  <w:p w14:paraId="17143938" w14:textId="77777777" w:rsidR="00494CE7" w:rsidRPr="00D6163D" w:rsidRDefault="00494CE7">
    <w:pPr>
      <w:pStyle w:val="Zhlav1"/>
      <w:rPr>
        <w:sz w:val="8"/>
        <w:szCs w:val="8"/>
      </w:rPr>
    </w:pPr>
  </w:p>
  <w:p w14:paraId="7E797D4A" w14:textId="77777777" w:rsidR="00494CE7" w:rsidRDefault="00494C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494CE7"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CE7" w:rsidRPr="006E7A39" w14:paraId="2FF2FCA2" w14:textId="77777777" w:rsidTr="00D41F04">
            <w:trPr>
              <w:trHeight w:hRule="exact" w:val="936"/>
            </w:trPr>
            <w:tc>
              <w:tcPr>
                <w:tcW w:w="1361" w:type="dxa"/>
                <w:tcMar>
                  <w:left w:w="0" w:type="dxa"/>
                  <w:right w:w="0" w:type="dxa"/>
                </w:tcMar>
              </w:tcPr>
              <w:p w14:paraId="16C10ACD" w14:textId="77777777" w:rsidR="00494CE7" w:rsidRPr="006E7A39" w:rsidRDefault="00494CE7"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494CE7" w:rsidRPr="006E7A39" w:rsidRDefault="00494CE7" w:rsidP="00D41F04">
                <w:pPr>
                  <w:pStyle w:val="Zpat"/>
                </w:pPr>
              </w:p>
            </w:tc>
            <w:tc>
              <w:tcPr>
                <w:tcW w:w="5698" w:type="dxa"/>
                <w:shd w:val="clear" w:color="auto" w:fill="auto"/>
                <w:tcMar>
                  <w:left w:w="0" w:type="dxa"/>
                  <w:right w:w="0" w:type="dxa"/>
                </w:tcMar>
              </w:tcPr>
              <w:p w14:paraId="42E03F8E" w14:textId="77777777" w:rsidR="00494CE7" w:rsidRPr="006E7A39" w:rsidRDefault="00494CE7" w:rsidP="00D41F04">
                <w:pPr>
                  <w:pStyle w:val="Druhdokumentu"/>
                </w:pPr>
              </w:p>
            </w:tc>
          </w:tr>
          <w:tr w:rsidR="00494CE7" w:rsidRPr="006E7A39" w14:paraId="574B484F" w14:textId="77777777" w:rsidTr="00D41F04">
            <w:trPr>
              <w:trHeight w:hRule="exact" w:val="452"/>
            </w:trPr>
            <w:tc>
              <w:tcPr>
                <w:tcW w:w="1361" w:type="dxa"/>
                <w:tcMar>
                  <w:left w:w="0" w:type="dxa"/>
                  <w:right w:w="0" w:type="dxa"/>
                </w:tcMar>
              </w:tcPr>
              <w:p w14:paraId="17D2A8B9" w14:textId="77777777" w:rsidR="00494CE7" w:rsidRPr="006E7A39" w:rsidRDefault="00494CE7" w:rsidP="00D41F04">
                <w:pPr>
                  <w:pStyle w:val="Zpat"/>
                  <w:rPr>
                    <w:rStyle w:val="slostrnky"/>
                  </w:rPr>
                </w:pPr>
              </w:p>
            </w:tc>
            <w:tc>
              <w:tcPr>
                <w:tcW w:w="3458" w:type="dxa"/>
                <w:shd w:val="clear" w:color="auto" w:fill="auto"/>
                <w:tcMar>
                  <w:left w:w="0" w:type="dxa"/>
                  <w:right w:w="0" w:type="dxa"/>
                </w:tcMar>
              </w:tcPr>
              <w:p w14:paraId="079F7AD5" w14:textId="77777777" w:rsidR="00494CE7" w:rsidRPr="006E7A39" w:rsidRDefault="00494CE7" w:rsidP="00D41F04">
                <w:pPr>
                  <w:pStyle w:val="Zpat"/>
                </w:pPr>
              </w:p>
            </w:tc>
            <w:tc>
              <w:tcPr>
                <w:tcW w:w="5698" w:type="dxa"/>
                <w:shd w:val="clear" w:color="auto" w:fill="auto"/>
                <w:tcMar>
                  <w:left w:w="0" w:type="dxa"/>
                  <w:right w:w="0" w:type="dxa"/>
                </w:tcMar>
              </w:tcPr>
              <w:p w14:paraId="0C37E4A5" w14:textId="77777777" w:rsidR="00494CE7" w:rsidRPr="006E7A39" w:rsidRDefault="00494CE7" w:rsidP="00D41F04">
                <w:pPr>
                  <w:pStyle w:val="Druhdokumentu"/>
                  <w:rPr>
                    <w:noProof/>
                  </w:rPr>
                </w:pPr>
              </w:p>
            </w:tc>
          </w:tr>
        </w:tbl>
        <w:p w14:paraId="7E21EBA4" w14:textId="77777777" w:rsidR="00494CE7" w:rsidRPr="006E7A39" w:rsidRDefault="00494CE7"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CE7" w:rsidRPr="006E7A39" w14:paraId="06D56E4C" w14:textId="77777777" w:rsidTr="00D41F04">
            <w:trPr>
              <w:trHeight w:hRule="exact" w:val="936"/>
            </w:trPr>
            <w:tc>
              <w:tcPr>
                <w:tcW w:w="1361" w:type="dxa"/>
                <w:tcMar>
                  <w:left w:w="0" w:type="dxa"/>
                  <w:right w:w="0" w:type="dxa"/>
                </w:tcMar>
              </w:tcPr>
              <w:p w14:paraId="7659F6D3" w14:textId="77777777" w:rsidR="00494CE7" w:rsidRPr="006E7A39" w:rsidRDefault="00494CE7" w:rsidP="00D41F04">
                <w:pPr>
                  <w:pStyle w:val="Zpat"/>
                  <w:rPr>
                    <w:rStyle w:val="slostrnky"/>
                  </w:rPr>
                </w:pPr>
              </w:p>
            </w:tc>
            <w:tc>
              <w:tcPr>
                <w:tcW w:w="3458" w:type="dxa"/>
                <w:shd w:val="clear" w:color="auto" w:fill="auto"/>
                <w:tcMar>
                  <w:left w:w="0" w:type="dxa"/>
                  <w:right w:w="0" w:type="dxa"/>
                </w:tcMar>
              </w:tcPr>
              <w:p w14:paraId="745EED6B" w14:textId="77777777" w:rsidR="00494CE7" w:rsidRPr="006E7A39" w:rsidRDefault="00494CE7" w:rsidP="00D41F04">
                <w:pPr>
                  <w:pStyle w:val="Zpat"/>
                </w:pPr>
              </w:p>
            </w:tc>
            <w:tc>
              <w:tcPr>
                <w:tcW w:w="5698" w:type="dxa"/>
                <w:shd w:val="clear" w:color="auto" w:fill="auto"/>
                <w:tcMar>
                  <w:left w:w="0" w:type="dxa"/>
                  <w:right w:w="0" w:type="dxa"/>
                </w:tcMar>
              </w:tcPr>
              <w:p w14:paraId="78C709F1" w14:textId="77777777" w:rsidR="00494CE7" w:rsidRPr="006E7A39" w:rsidRDefault="00494CE7" w:rsidP="00D41F04">
                <w:pPr>
                  <w:pStyle w:val="Druhdokumentu"/>
                </w:pPr>
              </w:p>
            </w:tc>
          </w:tr>
          <w:tr w:rsidR="00494CE7" w:rsidRPr="006E7A39" w14:paraId="5FF3744A" w14:textId="77777777" w:rsidTr="00D41F04">
            <w:trPr>
              <w:trHeight w:hRule="exact" w:val="452"/>
            </w:trPr>
            <w:tc>
              <w:tcPr>
                <w:tcW w:w="1361" w:type="dxa"/>
                <w:tcMar>
                  <w:left w:w="0" w:type="dxa"/>
                  <w:right w:w="0" w:type="dxa"/>
                </w:tcMar>
              </w:tcPr>
              <w:p w14:paraId="44F503F2" w14:textId="77777777" w:rsidR="00494CE7" w:rsidRPr="006E7A39" w:rsidRDefault="00494CE7" w:rsidP="00D41F04">
                <w:pPr>
                  <w:pStyle w:val="Zpat"/>
                  <w:rPr>
                    <w:rStyle w:val="slostrnky"/>
                  </w:rPr>
                </w:pPr>
              </w:p>
            </w:tc>
            <w:tc>
              <w:tcPr>
                <w:tcW w:w="3458" w:type="dxa"/>
                <w:shd w:val="clear" w:color="auto" w:fill="auto"/>
                <w:tcMar>
                  <w:left w:w="0" w:type="dxa"/>
                  <w:right w:w="0" w:type="dxa"/>
                </w:tcMar>
              </w:tcPr>
              <w:p w14:paraId="06A52672" w14:textId="77777777" w:rsidR="00494CE7" w:rsidRPr="006E7A39" w:rsidRDefault="00494CE7" w:rsidP="00D41F04">
                <w:pPr>
                  <w:pStyle w:val="Zpat"/>
                </w:pPr>
              </w:p>
            </w:tc>
            <w:tc>
              <w:tcPr>
                <w:tcW w:w="5698" w:type="dxa"/>
                <w:shd w:val="clear" w:color="auto" w:fill="auto"/>
                <w:tcMar>
                  <w:left w:w="0" w:type="dxa"/>
                  <w:right w:w="0" w:type="dxa"/>
                </w:tcMar>
              </w:tcPr>
              <w:p w14:paraId="08C09A7D" w14:textId="77777777" w:rsidR="00494CE7" w:rsidRPr="006E7A39" w:rsidRDefault="00494CE7" w:rsidP="00D41F04">
                <w:pPr>
                  <w:pStyle w:val="Druhdokumentu"/>
                  <w:rPr>
                    <w:noProof/>
                  </w:rPr>
                </w:pPr>
              </w:p>
            </w:tc>
          </w:tr>
        </w:tbl>
        <w:p w14:paraId="19C134A5" w14:textId="77777777" w:rsidR="00494CE7" w:rsidRPr="006E7A39" w:rsidRDefault="00494CE7"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CE7" w:rsidRPr="006E7A39" w14:paraId="29930BED" w14:textId="77777777" w:rsidTr="00D41F04">
            <w:trPr>
              <w:trHeight w:hRule="exact" w:val="936"/>
            </w:trPr>
            <w:tc>
              <w:tcPr>
                <w:tcW w:w="1361" w:type="dxa"/>
                <w:tcMar>
                  <w:left w:w="0" w:type="dxa"/>
                  <w:right w:w="0" w:type="dxa"/>
                </w:tcMar>
              </w:tcPr>
              <w:p w14:paraId="240D57CA" w14:textId="77777777" w:rsidR="00494CE7" w:rsidRPr="006E7A39" w:rsidRDefault="00494CE7"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494CE7" w:rsidRPr="006E7A39" w:rsidRDefault="00494CE7" w:rsidP="00D41F04">
                <w:pPr>
                  <w:pStyle w:val="Zpat"/>
                </w:pPr>
              </w:p>
            </w:tc>
            <w:tc>
              <w:tcPr>
                <w:tcW w:w="5698" w:type="dxa"/>
                <w:shd w:val="clear" w:color="auto" w:fill="auto"/>
                <w:tcMar>
                  <w:left w:w="0" w:type="dxa"/>
                  <w:right w:w="0" w:type="dxa"/>
                </w:tcMar>
              </w:tcPr>
              <w:p w14:paraId="6C9BA197" w14:textId="77777777" w:rsidR="00494CE7" w:rsidRPr="006E7A39" w:rsidRDefault="00494CE7" w:rsidP="00D41F04">
                <w:pPr>
                  <w:pStyle w:val="Druhdokumentu"/>
                </w:pPr>
              </w:p>
            </w:tc>
          </w:tr>
          <w:tr w:rsidR="00494CE7" w:rsidRPr="006E7A39" w14:paraId="33289ADA" w14:textId="77777777" w:rsidTr="00D41F04">
            <w:trPr>
              <w:trHeight w:hRule="exact" w:val="452"/>
            </w:trPr>
            <w:tc>
              <w:tcPr>
                <w:tcW w:w="1361" w:type="dxa"/>
                <w:tcMar>
                  <w:left w:w="0" w:type="dxa"/>
                  <w:right w:w="0" w:type="dxa"/>
                </w:tcMar>
              </w:tcPr>
              <w:p w14:paraId="093D567F" w14:textId="77777777" w:rsidR="00494CE7" w:rsidRPr="006E7A39" w:rsidRDefault="00494CE7" w:rsidP="00D41F04">
                <w:pPr>
                  <w:pStyle w:val="Zpat"/>
                  <w:rPr>
                    <w:rStyle w:val="slostrnky"/>
                  </w:rPr>
                </w:pPr>
              </w:p>
            </w:tc>
            <w:tc>
              <w:tcPr>
                <w:tcW w:w="3458" w:type="dxa"/>
                <w:shd w:val="clear" w:color="auto" w:fill="auto"/>
                <w:tcMar>
                  <w:left w:w="0" w:type="dxa"/>
                  <w:right w:w="0" w:type="dxa"/>
                </w:tcMar>
              </w:tcPr>
              <w:p w14:paraId="112BFFFC" w14:textId="77777777" w:rsidR="00494CE7" w:rsidRPr="006E7A39" w:rsidRDefault="00494CE7" w:rsidP="00D41F04">
                <w:pPr>
                  <w:pStyle w:val="Zpat"/>
                </w:pPr>
              </w:p>
            </w:tc>
            <w:tc>
              <w:tcPr>
                <w:tcW w:w="5698" w:type="dxa"/>
                <w:shd w:val="clear" w:color="auto" w:fill="auto"/>
                <w:tcMar>
                  <w:left w:w="0" w:type="dxa"/>
                  <w:right w:w="0" w:type="dxa"/>
                </w:tcMar>
              </w:tcPr>
              <w:p w14:paraId="600822B6" w14:textId="77777777" w:rsidR="00494CE7" w:rsidRPr="006E7A39" w:rsidRDefault="00494CE7" w:rsidP="00D41F04">
                <w:pPr>
                  <w:pStyle w:val="Druhdokumentu"/>
                  <w:rPr>
                    <w:noProof/>
                  </w:rPr>
                </w:pPr>
              </w:p>
            </w:tc>
          </w:tr>
        </w:tbl>
        <w:p w14:paraId="37C964E7" w14:textId="77777777" w:rsidR="00494CE7" w:rsidRPr="006E7A39" w:rsidRDefault="00494CE7" w:rsidP="00D41F04">
          <w:pPr>
            <w:pStyle w:val="Zhlav"/>
            <w:rPr>
              <w:sz w:val="8"/>
              <w:szCs w:val="8"/>
            </w:rPr>
          </w:pPr>
        </w:p>
      </w:tc>
    </w:tr>
    <w:tr w:rsidR="00494CE7" w14:paraId="36BC84FB" w14:textId="77777777" w:rsidTr="005D636E">
      <w:trPr>
        <w:trHeight w:hRule="exact" w:val="1077"/>
      </w:trPr>
      <w:tc>
        <w:tcPr>
          <w:tcW w:w="1361" w:type="dxa"/>
          <w:tcMar>
            <w:left w:w="0" w:type="dxa"/>
            <w:right w:w="0" w:type="dxa"/>
          </w:tcMar>
        </w:tcPr>
        <w:p w14:paraId="1E0B8E67" w14:textId="77777777" w:rsidR="00494CE7" w:rsidRPr="006E7A39" w:rsidRDefault="00494CE7" w:rsidP="00D41F04">
          <w:pPr>
            <w:rPr>
              <w:sz w:val="2"/>
              <w:szCs w:val="2"/>
            </w:rPr>
          </w:pPr>
        </w:p>
      </w:tc>
      <w:tc>
        <w:tcPr>
          <w:tcW w:w="3458" w:type="dxa"/>
          <w:shd w:val="clear" w:color="auto" w:fill="auto"/>
          <w:tcMar>
            <w:left w:w="0" w:type="dxa"/>
            <w:right w:w="0" w:type="dxa"/>
          </w:tcMar>
        </w:tcPr>
        <w:p w14:paraId="3C62C5B5" w14:textId="77777777" w:rsidR="00494CE7" w:rsidRPr="006E7A39" w:rsidRDefault="00494CE7" w:rsidP="00D41F04">
          <w:pPr>
            <w:rPr>
              <w:sz w:val="2"/>
              <w:szCs w:val="2"/>
            </w:rPr>
          </w:pPr>
        </w:p>
      </w:tc>
      <w:tc>
        <w:tcPr>
          <w:tcW w:w="5698" w:type="dxa"/>
          <w:shd w:val="clear" w:color="auto" w:fill="auto"/>
          <w:tcMar>
            <w:left w:w="0" w:type="dxa"/>
            <w:right w:w="0" w:type="dxa"/>
          </w:tcMar>
        </w:tcPr>
        <w:p w14:paraId="344784C0" w14:textId="77777777" w:rsidR="00494CE7" w:rsidRPr="006E7A39" w:rsidRDefault="00494CE7" w:rsidP="00D41F04">
          <w:pPr>
            <w:pStyle w:val="Zhlav"/>
            <w:rPr>
              <w:sz w:val="2"/>
              <w:szCs w:val="2"/>
            </w:rPr>
          </w:pPr>
        </w:p>
      </w:tc>
    </w:tr>
  </w:tbl>
  <w:p w14:paraId="794652BE" w14:textId="77777777" w:rsidR="00494CE7" w:rsidRPr="00D6163D" w:rsidRDefault="00494CE7" w:rsidP="005D636E">
    <w:pPr>
      <w:pStyle w:val="Zhlav1"/>
      <w:rPr>
        <w:sz w:val="8"/>
        <w:szCs w:val="8"/>
      </w:rPr>
    </w:pPr>
  </w:p>
  <w:p w14:paraId="19E140C1" w14:textId="77777777" w:rsidR="00494CE7" w:rsidRPr="00460660" w:rsidRDefault="00494CE7">
    <w:pPr>
      <w:pStyle w:val="Zhlav1"/>
      <w:rPr>
        <w:sz w:val="2"/>
        <w:szCs w:val="2"/>
      </w:rPr>
    </w:pPr>
  </w:p>
  <w:p w14:paraId="065CE374" w14:textId="77777777" w:rsidR="00494CE7" w:rsidRDefault="00494C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5206D3"/>
    <w:multiLevelType w:val="hybridMultilevel"/>
    <w:tmpl w:val="E6F62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D0B91"/>
    <w:multiLevelType w:val="hybridMultilevel"/>
    <w:tmpl w:val="02E206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790696"/>
    <w:multiLevelType w:val="hybridMultilevel"/>
    <w:tmpl w:val="D5969D36"/>
    <w:lvl w:ilvl="0" w:tplc="93CA409C">
      <w:start w:val="1"/>
      <w:numFmt w:val="bullet"/>
      <w:lvlText w:val=""/>
      <w:lvlJc w:val="left"/>
      <w:pPr>
        <w:ind w:left="720" w:hanging="360"/>
      </w:pPr>
      <w:rPr>
        <w:rFonts w:ascii="Symbol" w:hAnsi="Symbol"/>
      </w:rPr>
    </w:lvl>
    <w:lvl w:ilvl="1" w:tplc="2E3CFB72">
      <w:start w:val="1"/>
      <w:numFmt w:val="bullet"/>
      <w:lvlText w:val=""/>
      <w:lvlJc w:val="left"/>
      <w:pPr>
        <w:ind w:left="720" w:hanging="360"/>
      </w:pPr>
      <w:rPr>
        <w:rFonts w:ascii="Symbol" w:hAnsi="Symbol"/>
      </w:rPr>
    </w:lvl>
    <w:lvl w:ilvl="2" w:tplc="D69CA7AC">
      <w:start w:val="1"/>
      <w:numFmt w:val="bullet"/>
      <w:lvlText w:val=""/>
      <w:lvlJc w:val="left"/>
      <w:pPr>
        <w:ind w:left="720" w:hanging="360"/>
      </w:pPr>
      <w:rPr>
        <w:rFonts w:ascii="Symbol" w:hAnsi="Symbol"/>
      </w:rPr>
    </w:lvl>
    <w:lvl w:ilvl="3" w:tplc="F1A6FC72">
      <w:start w:val="1"/>
      <w:numFmt w:val="bullet"/>
      <w:lvlText w:val=""/>
      <w:lvlJc w:val="left"/>
      <w:pPr>
        <w:ind w:left="720" w:hanging="360"/>
      </w:pPr>
      <w:rPr>
        <w:rFonts w:ascii="Symbol" w:hAnsi="Symbol"/>
      </w:rPr>
    </w:lvl>
    <w:lvl w:ilvl="4" w:tplc="44C6D81C">
      <w:start w:val="1"/>
      <w:numFmt w:val="bullet"/>
      <w:lvlText w:val=""/>
      <w:lvlJc w:val="left"/>
      <w:pPr>
        <w:ind w:left="720" w:hanging="360"/>
      </w:pPr>
      <w:rPr>
        <w:rFonts w:ascii="Symbol" w:hAnsi="Symbol"/>
      </w:rPr>
    </w:lvl>
    <w:lvl w:ilvl="5" w:tplc="334A0F96">
      <w:start w:val="1"/>
      <w:numFmt w:val="bullet"/>
      <w:lvlText w:val=""/>
      <w:lvlJc w:val="left"/>
      <w:pPr>
        <w:ind w:left="720" w:hanging="360"/>
      </w:pPr>
      <w:rPr>
        <w:rFonts w:ascii="Symbol" w:hAnsi="Symbol"/>
      </w:rPr>
    </w:lvl>
    <w:lvl w:ilvl="6" w:tplc="6E1CC366">
      <w:start w:val="1"/>
      <w:numFmt w:val="bullet"/>
      <w:lvlText w:val=""/>
      <w:lvlJc w:val="left"/>
      <w:pPr>
        <w:ind w:left="720" w:hanging="360"/>
      </w:pPr>
      <w:rPr>
        <w:rFonts w:ascii="Symbol" w:hAnsi="Symbol"/>
      </w:rPr>
    </w:lvl>
    <w:lvl w:ilvl="7" w:tplc="C30EA334">
      <w:start w:val="1"/>
      <w:numFmt w:val="bullet"/>
      <w:lvlText w:val=""/>
      <w:lvlJc w:val="left"/>
      <w:pPr>
        <w:ind w:left="720" w:hanging="360"/>
      </w:pPr>
      <w:rPr>
        <w:rFonts w:ascii="Symbol" w:hAnsi="Symbol"/>
      </w:rPr>
    </w:lvl>
    <w:lvl w:ilvl="8" w:tplc="AD1EE274">
      <w:start w:val="1"/>
      <w:numFmt w:val="bullet"/>
      <w:lvlText w:val=""/>
      <w:lvlJc w:val="left"/>
      <w:pPr>
        <w:ind w:left="720" w:hanging="360"/>
      </w:pPr>
      <w:rPr>
        <w:rFonts w:ascii="Symbol" w:hAnsi="Symbol"/>
      </w:rPr>
    </w:lvl>
  </w:abstractNum>
  <w:abstractNum w:abstractNumId="4" w15:restartNumberingAfterBreak="0">
    <w:nsid w:val="068D09EC"/>
    <w:multiLevelType w:val="multilevel"/>
    <w:tmpl w:val="0D34D660"/>
    <w:styleLink w:val="ListBulletmultilevel"/>
    <w:lvl w:ilvl="0">
      <w:start w:val="1"/>
      <w:numFmt w:val="bullet"/>
      <w:pStyle w:val="Seznamsodrkami1"/>
      <w:lvlText w:val=""/>
      <w:lvlJc w:val="left"/>
      <w:pPr>
        <w:ind w:left="454" w:hanging="170"/>
      </w:pPr>
      <w:rPr>
        <w:rFonts w:ascii="Symbol" w:hAnsi="Symbol" w:hint="default"/>
      </w:rPr>
    </w:lvl>
    <w:lvl w:ilvl="1">
      <w:start w:val="1"/>
      <w:numFmt w:val="bullet"/>
      <w:pStyle w:val="Seznamsodrkami21"/>
      <w:lvlText w:val="◦"/>
      <w:lvlJc w:val="left"/>
      <w:pPr>
        <w:ind w:left="654" w:hanging="113"/>
      </w:pPr>
      <w:rPr>
        <w:rFonts w:ascii="Verdana" w:hAnsi="Verdana" w:hint="default"/>
      </w:rPr>
    </w:lvl>
    <w:lvl w:ilvl="2">
      <w:start w:val="1"/>
      <w:numFmt w:val="bullet"/>
      <w:pStyle w:val="Seznamsodrkami31"/>
      <w:lvlText w:val="◦"/>
      <w:lvlJc w:val="left"/>
      <w:pPr>
        <w:ind w:left="854" w:hanging="113"/>
      </w:pPr>
      <w:rPr>
        <w:rFonts w:ascii="Verdana" w:hAnsi="Verdana" w:hint="default"/>
      </w:rPr>
    </w:lvl>
    <w:lvl w:ilvl="3">
      <w:start w:val="1"/>
      <w:numFmt w:val="bullet"/>
      <w:pStyle w:val="Seznamsodrkami41"/>
      <w:lvlText w:val="◦"/>
      <w:lvlJc w:val="left"/>
      <w:pPr>
        <w:ind w:left="1054" w:hanging="113"/>
      </w:pPr>
      <w:rPr>
        <w:rFonts w:ascii="Verdana" w:hAnsi="Verdana" w:hint="default"/>
      </w:rPr>
    </w:lvl>
    <w:lvl w:ilvl="4">
      <w:start w:val="1"/>
      <w:numFmt w:val="bullet"/>
      <w:pStyle w:val="Seznamsodrkami51"/>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C5E2F6E"/>
    <w:multiLevelType w:val="hybridMultilevel"/>
    <w:tmpl w:val="09D21128"/>
    <w:lvl w:ilvl="0" w:tplc="963AB2D8">
      <w:start w:val="1"/>
      <w:numFmt w:val="lowerRoman"/>
      <w:lvlText w:val="%1)"/>
      <w:lvlJc w:val="left"/>
      <w:pPr>
        <w:ind w:left="720" w:hanging="360"/>
      </w:pPr>
      <w:rPr>
        <w:rFonts w:ascii="Verdana" w:hAnsi="Verdana" w:cs="Times New Roman"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321300"/>
    <w:multiLevelType w:val="hybridMultilevel"/>
    <w:tmpl w:val="14E264F4"/>
    <w:lvl w:ilvl="0" w:tplc="72742D4C">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17DD419E"/>
    <w:multiLevelType w:val="multilevel"/>
    <w:tmpl w:val="6E66A8AC"/>
    <w:lvl w:ilvl="0">
      <w:start w:val="1"/>
      <w:numFmt w:val="decimal"/>
      <w:pStyle w:val="Nadpis1"/>
      <w:lvlText w:val="%1."/>
      <w:lvlJc w:val="left"/>
      <w:pPr>
        <w:ind w:left="360" w:hanging="360"/>
      </w:pPr>
    </w:lvl>
    <w:lvl w:ilvl="1">
      <w:start w:val="1"/>
      <w:numFmt w:val="decimal"/>
      <w:pStyle w:val="Nadpis2"/>
      <w:lvlText w:val="%1.%2."/>
      <w:lvlJc w:val="left"/>
      <w:pPr>
        <w:ind w:left="792" w:hanging="432"/>
      </w:pPr>
      <w:rPr>
        <w:b w:val="0"/>
        <w:bCs w:val="0"/>
        <w:i w:val="0"/>
        <w:iCs w:val="0"/>
      </w:rPr>
    </w:lvl>
    <w:lvl w:ilvl="2">
      <w:start w:val="1"/>
      <w:numFmt w:val="decimal"/>
      <w:pStyle w:val="Nadpis3"/>
      <w:lvlText w:val="%1.%2.%3."/>
      <w:lvlJc w:val="left"/>
      <w:pPr>
        <w:ind w:left="1224" w:hanging="504"/>
      </w:pPr>
      <w:rPr>
        <w:b w:val="0"/>
        <w:bCs w:val="0"/>
        <w:i w:val="0"/>
        <w:iCs w:val="0"/>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622987"/>
    <w:multiLevelType w:val="hybridMultilevel"/>
    <w:tmpl w:val="D5001F74"/>
    <w:lvl w:ilvl="0" w:tplc="0405000F">
      <w:start w:val="1"/>
      <w:numFmt w:val="decimal"/>
      <w:pStyle w:val="Seznamsodrkami5"/>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787A98"/>
    <w:multiLevelType w:val="hybridMultilevel"/>
    <w:tmpl w:val="AD1EDF5C"/>
    <w:lvl w:ilvl="0" w:tplc="85EE9EAC">
      <w:start w:val="8"/>
      <w:numFmt w:val="bullet"/>
      <w:pStyle w:val="Seznamsodrkami4"/>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B95739"/>
    <w:multiLevelType w:val="hybridMultilevel"/>
    <w:tmpl w:val="D4148584"/>
    <w:lvl w:ilvl="0" w:tplc="986AAB9A">
      <w:start w:val="1"/>
      <w:numFmt w:val="bullet"/>
      <w:lvlText w:val=""/>
      <w:lvlJc w:val="left"/>
      <w:pPr>
        <w:ind w:left="720" w:hanging="360"/>
      </w:pPr>
      <w:rPr>
        <w:rFonts w:ascii="Symbol" w:hAnsi="Symbol"/>
      </w:rPr>
    </w:lvl>
    <w:lvl w:ilvl="1" w:tplc="E3641824">
      <w:start w:val="1"/>
      <w:numFmt w:val="bullet"/>
      <w:lvlText w:val=""/>
      <w:lvlJc w:val="left"/>
      <w:pPr>
        <w:ind w:left="720" w:hanging="360"/>
      </w:pPr>
      <w:rPr>
        <w:rFonts w:ascii="Symbol" w:hAnsi="Symbol"/>
      </w:rPr>
    </w:lvl>
    <w:lvl w:ilvl="2" w:tplc="990A9488">
      <w:start w:val="1"/>
      <w:numFmt w:val="bullet"/>
      <w:lvlText w:val=""/>
      <w:lvlJc w:val="left"/>
      <w:pPr>
        <w:ind w:left="720" w:hanging="360"/>
      </w:pPr>
      <w:rPr>
        <w:rFonts w:ascii="Symbol" w:hAnsi="Symbol"/>
      </w:rPr>
    </w:lvl>
    <w:lvl w:ilvl="3" w:tplc="89BC6FFC">
      <w:start w:val="1"/>
      <w:numFmt w:val="bullet"/>
      <w:lvlText w:val=""/>
      <w:lvlJc w:val="left"/>
      <w:pPr>
        <w:ind w:left="720" w:hanging="360"/>
      </w:pPr>
      <w:rPr>
        <w:rFonts w:ascii="Symbol" w:hAnsi="Symbol"/>
      </w:rPr>
    </w:lvl>
    <w:lvl w:ilvl="4" w:tplc="74348E82">
      <w:start w:val="1"/>
      <w:numFmt w:val="bullet"/>
      <w:lvlText w:val=""/>
      <w:lvlJc w:val="left"/>
      <w:pPr>
        <w:ind w:left="720" w:hanging="360"/>
      </w:pPr>
      <w:rPr>
        <w:rFonts w:ascii="Symbol" w:hAnsi="Symbol"/>
      </w:rPr>
    </w:lvl>
    <w:lvl w:ilvl="5" w:tplc="BC4E9736">
      <w:start w:val="1"/>
      <w:numFmt w:val="bullet"/>
      <w:lvlText w:val=""/>
      <w:lvlJc w:val="left"/>
      <w:pPr>
        <w:ind w:left="720" w:hanging="360"/>
      </w:pPr>
      <w:rPr>
        <w:rFonts w:ascii="Symbol" w:hAnsi="Symbol"/>
      </w:rPr>
    </w:lvl>
    <w:lvl w:ilvl="6" w:tplc="63A2C46A">
      <w:start w:val="1"/>
      <w:numFmt w:val="bullet"/>
      <w:lvlText w:val=""/>
      <w:lvlJc w:val="left"/>
      <w:pPr>
        <w:ind w:left="720" w:hanging="360"/>
      </w:pPr>
      <w:rPr>
        <w:rFonts w:ascii="Symbol" w:hAnsi="Symbol"/>
      </w:rPr>
    </w:lvl>
    <w:lvl w:ilvl="7" w:tplc="C5362B5C">
      <w:start w:val="1"/>
      <w:numFmt w:val="bullet"/>
      <w:lvlText w:val=""/>
      <w:lvlJc w:val="left"/>
      <w:pPr>
        <w:ind w:left="720" w:hanging="360"/>
      </w:pPr>
      <w:rPr>
        <w:rFonts w:ascii="Symbol" w:hAnsi="Symbol"/>
      </w:rPr>
    </w:lvl>
    <w:lvl w:ilvl="8" w:tplc="E752F7BE">
      <w:start w:val="1"/>
      <w:numFmt w:val="bullet"/>
      <w:lvlText w:val=""/>
      <w:lvlJc w:val="left"/>
      <w:pPr>
        <w:ind w:left="720" w:hanging="360"/>
      </w:pPr>
      <w:rPr>
        <w:rFonts w:ascii="Symbol" w:hAnsi="Symbol"/>
      </w:rPr>
    </w:lvl>
  </w:abstractNum>
  <w:abstractNum w:abstractNumId="11" w15:restartNumberingAfterBreak="0">
    <w:nsid w:val="236E7D11"/>
    <w:multiLevelType w:val="hybridMultilevel"/>
    <w:tmpl w:val="AC3AAB64"/>
    <w:lvl w:ilvl="0" w:tplc="04050017">
      <w:start w:val="1"/>
      <w:numFmt w:val="lowerLetter"/>
      <w:lvlText w:val="%1)"/>
      <w:lvlJc w:val="left"/>
      <w:pPr>
        <w:ind w:left="2133" w:hanging="360"/>
      </w:p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12" w15:restartNumberingAfterBreak="0">
    <w:nsid w:val="25240DC9"/>
    <w:multiLevelType w:val="hybridMultilevel"/>
    <w:tmpl w:val="27C4F8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8795467"/>
    <w:multiLevelType w:val="hybridMultilevel"/>
    <w:tmpl w:val="76DC75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62F55"/>
    <w:multiLevelType w:val="hybridMultilevel"/>
    <w:tmpl w:val="D2628B8C"/>
    <w:lvl w:ilvl="0" w:tplc="C65EBB58">
      <w:start w:val="1"/>
      <w:numFmt w:val="decimal"/>
      <w:lvlText w:val="č. %1."/>
      <w:lvlJc w:val="left"/>
      <w:pPr>
        <w:ind w:left="1287"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9A70838"/>
    <w:multiLevelType w:val="hybridMultilevel"/>
    <w:tmpl w:val="973C6D92"/>
    <w:lvl w:ilvl="0" w:tplc="13F899CC">
      <w:numFmt w:val="bullet"/>
      <w:lvlText w:val="-"/>
      <w:lvlJc w:val="left"/>
      <w:pPr>
        <w:ind w:left="1776" w:hanging="360"/>
      </w:pPr>
      <w:rPr>
        <w:rFonts w:ascii="Verdana" w:eastAsiaTheme="minorHAnsi" w:hAnsi="Verdana"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15:restartNumberingAfterBreak="0">
    <w:nsid w:val="39D14618"/>
    <w:multiLevelType w:val="hybridMultilevel"/>
    <w:tmpl w:val="0D9EBD84"/>
    <w:lvl w:ilvl="0" w:tplc="349A4032">
      <w:start w:val="2"/>
      <w:numFmt w:val="bullet"/>
      <w:lvlText w:val="-"/>
      <w:lvlJc w:val="left"/>
      <w:pPr>
        <w:ind w:left="720" w:hanging="360"/>
      </w:pPr>
      <w:rPr>
        <w:rFonts w:ascii="Verdana" w:eastAsia="Times New Roman" w:hAnsi="Verdana"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8012E8"/>
    <w:multiLevelType w:val="hybridMultilevel"/>
    <w:tmpl w:val="1BD4F16A"/>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1" w15:restartNumberingAfterBreak="0">
    <w:nsid w:val="3C83366A"/>
    <w:multiLevelType w:val="multilevel"/>
    <w:tmpl w:val="A1860DF6"/>
    <w:lvl w:ilvl="0">
      <w:start w:val="6"/>
      <w:numFmt w:val="decimal"/>
      <w:lvlText w:val="%1."/>
      <w:lvlJc w:val="left"/>
      <w:pPr>
        <w:ind w:left="780" w:hanging="780"/>
      </w:pPr>
      <w:rPr>
        <w:rFonts w:hint="default"/>
      </w:rPr>
    </w:lvl>
    <w:lvl w:ilvl="1">
      <w:start w:val="2"/>
      <w:numFmt w:val="decimal"/>
      <w:lvlText w:val="%1.%2."/>
      <w:lvlJc w:val="left"/>
      <w:pPr>
        <w:ind w:left="874" w:hanging="780"/>
      </w:pPr>
      <w:rPr>
        <w:rFonts w:hint="default"/>
      </w:rPr>
    </w:lvl>
    <w:lvl w:ilvl="2">
      <w:start w:val="2"/>
      <w:numFmt w:val="decimal"/>
      <w:lvlText w:val="%1.%2.%3."/>
      <w:lvlJc w:val="left"/>
      <w:pPr>
        <w:ind w:left="968" w:hanging="780"/>
      </w:pPr>
      <w:rPr>
        <w:rFonts w:hint="default"/>
      </w:rPr>
    </w:lvl>
    <w:lvl w:ilvl="3">
      <w:start w:val="1"/>
      <w:numFmt w:val="decimal"/>
      <w:pStyle w:val="Nadpis4"/>
      <w:lvlText w:val="%1.%2.%3.%4."/>
      <w:lvlJc w:val="left"/>
      <w:pPr>
        <w:ind w:left="1362" w:hanging="1080"/>
      </w:pPr>
      <w:rPr>
        <w:rFonts w:hint="default"/>
        <w:b w:val="0"/>
      </w:rPr>
    </w:lvl>
    <w:lvl w:ilvl="4">
      <w:start w:val="1"/>
      <w:numFmt w:val="decimal"/>
      <w:lvlText w:val="%1.%2.%3.%4.%5."/>
      <w:lvlJc w:val="left"/>
      <w:pPr>
        <w:ind w:left="1816" w:hanging="144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22" w15:restartNumberingAfterBreak="0">
    <w:nsid w:val="43002B55"/>
    <w:multiLevelType w:val="hybridMultilevel"/>
    <w:tmpl w:val="D0341A4C"/>
    <w:lvl w:ilvl="0" w:tplc="39B8C26A">
      <w:start w:val="1"/>
      <w:numFmt w:val="bullet"/>
      <w:lvlText w:val=""/>
      <w:lvlJc w:val="left"/>
      <w:pPr>
        <w:ind w:left="1137" w:hanging="360"/>
      </w:pPr>
      <w:rPr>
        <w:rFonts w:ascii="Symbol" w:hAnsi="Symbol" w:hint="default"/>
      </w:rPr>
    </w:lvl>
    <w:lvl w:ilvl="1" w:tplc="04050003" w:tentative="1">
      <w:start w:val="1"/>
      <w:numFmt w:val="bullet"/>
      <w:lvlText w:val="o"/>
      <w:lvlJc w:val="left"/>
      <w:pPr>
        <w:ind w:left="1857" w:hanging="360"/>
      </w:pPr>
      <w:rPr>
        <w:rFonts w:ascii="Courier New" w:hAnsi="Courier New" w:cs="Courier New" w:hint="default"/>
      </w:rPr>
    </w:lvl>
    <w:lvl w:ilvl="2" w:tplc="04050005" w:tentative="1">
      <w:start w:val="1"/>
      <w:numFmt w:val="bullet"/>
      <w:lvlText w:val=""/>
      <w:lvlJc w:val="left"/>
      <w:pPr>
        <w:ind w:left="2577" w:hanging="360"/>
      </w:pPr>
      <w:rPr>
        <w:rFonts w:ascii="Wingdings" w:hAnsi="Wingdings" w:hint="default"/>
      </w:rPr>
    </w:lvl>
    <w:lvl w:ilvl="3" w:tplc="04050001" w:tentative="1">
      <w:start w:val="1"/>
      <w:numFmt w:val="bullet"/>
      <w:lvlText w:val=""/>
      <w:lvlJc w:val="left"/>
      <w:pPr>
        <w:ind w:left="3297" w:hanging="360"/>
      </w:pPr>
      <w:rPr>
        <w:rFonts w:ascii="Symbol" w:hAnsi="Symbol" w:hint="default"/>
      </w:rPr>
    </w:lvl>
    <w:lvl w:ilvl="4" w:tplc="04050003" w:tentative="1">
      <w:start w:val="1"/>
      <w:numFmt w:val="bullet"/>
      <w:lvlText w:val="o"/>
      <w:lvlJc w:val="left"/>
      <w:pPr>
        <w:ind w:left="4017" w:hanging="360"/>
      </w:pPr>
      <w:rPr>
        <w:rFonts w:ascii="Courier New" w:hAnsi="Courier New" w:cs="Courier New" w:hint="default"/>
      </w:rPr>
    </w:lvl>
    <w:lvl w:ilvl="5" w:tplc="04050005" w:tentative="1">
      <w:start w:val="1"/>
      <w:numFmt w:val="bullet"/>
      <w:lvlText w:val=""/>
      <w:lvlJc w:val="left"/>
      <w:pPr>
        <w:ind w:left="4737" w:hanging="360"/>
      </w:pPr>
      <w:rPr>
        <w:rFonts w:ascii="Wingdings" w:hAnsi="Wingdings" w:hint="default"/>
      </w:rPr>
    </w:lvl>
    <w:lvl w:ilvl="6" w:tplc="04050001" w:tentative="1">
      <w:start w:val="1"/>
      <w:numFmt w:val="bullet"/>
      <w:lvlText w:val=""/>
      <w:lvlJc w:val="left"/>
      <w:pPr>
        <w:ind w:left="5457" w:hanging="360"/>
      </w:pPr>
      <w:rPr>
        <w:rFonts w:ascii="Symbol" w:hAnsi="Symbol" w:hint="default"/>
      </w:rPr>
    </w:lvl>
    <w:lvl w:ilvl="7" w:tplc="04050003" w:tentative="1">
      <w:start w:val="1"/>
      <w:numFmt w:val="bullet"/>
      <w:lvlText w:val="o"/>
      <w:lvlJc w:val="left"/>
      <w:pPr>
        <w:ind w:left="6177" w:hanging="360"/>
      </w:pPr>
      <w:rPr>
        <w:rFonts w:ascii="Courier New" w:hAnsi="Courier New" w:cs="Courier New" w:hint="default"/>
      </w:rPr>
    </w:lvl>
    <w:lvl w:ilvl="8" w:tplc="04050005" w:tentative="1">
      <w:start w:val="1"/>
      <w:numFmt w:val="bullet"/>
      <w:lvlText w:val=""/>
      <w:lvlJc w:val="left"/>
      <w:pPr>
        <w:ind w:left="6897" w:hanging="360"/>
      </w:pPr>
      <w:rPr>
        <w:rFonts w:ascii="Wingdings" w:hAnsi="Wingdings" w:hint="default"/>
      </w:rPr>
    </w:lvl>
  </w:abstractNum>
  <w:abstractNum w:abstractNumId="23" w15:restartNumberingAfterBreak="0">
    <w:nsid w:val="448B3C42"/>
    <w:multiLevelType w:val="hybridMultilevel"/>
    <w:tmpl w:val="02E20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EA527D"/>
    <w:multiLevelType w:val="hybridMultilevel"/>
    <w:tmpl w:val="3FFE5074"/>
    <w:lvl w:ilvl="0" w:tplc="464AD9A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5"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6" w15:restartNumberingAfterBreak="0">
    <w:nsid w:val="5BEF3545"/>
    <w:multiLevelType w:val="hybridMultilevel"/>
    <w:tmpl w:val="782A6848"/>
    <w:lvl w:ilvl="0" w:tplc="FFFFFFFF">
      <w:start w:val="1"/>
      <w:numFmt w:val="lowerLetter"/>
      <w:lvlText w:val="%1)"/>
      <w:lvlJc w:val="left"/>
      <w:pPr>
        <w:ind w:left="2705" w:hanging="360"/>
      </w:pPr>
    </w:lvl>
    <w:lvl w:ilvl="1" w:tplc="FFFFFFFF">
      <w:start w:val="1"/>
      <w:numFmt w:val="lowerLetter"/>
      <w:lvlText w:val="%2."/>
      <w:lvlJc w:val="left"/>
      <w:pPr>
        <w:ind w:left="3425" w:hanging="360"/>
      </w:pPr>
    </w:lvl>
    <w:lvl w:ilvl="2" w:tplc="FFFFFFFF" w:tentative="1">
      <w:start w:val="1"/>
      <w:numFmt w:val="lowerRoman"/>
      <w:lvlText w:val="%3."/>
      <w:lvlJc w:val="right"/>
      <w:pPr>
        <w:ind w:left="4145" w:hanging="180"/>
      </w:pPr>
    </w:lvl>
    <w:lvl w:ilvl="3" w:tplc="FFFFFFFF" w:tentative="1">
      <w:start w:val="1"/>
      <w:numFmt w:val="decimal"/>
      <w:lvlText w:val="%4."/>
      <w:lvlJc w:val="left"/>
      <w:pPr>
        <w:ind w:left="4865" w:hanging="360"/>
      </w:pPr>
    </w:lvl>
    <w:lvl w:ilvl="4" w:tplc="FFFFFFFF" w:tentative="1">
      <w:start w:val="1"/>
      <w:numFmt w:val="lowerLetter"/>
      <w:lvlText w:val="%5."/>
      <w:lvlJc w:val="left"/>
      <w:pPr>
        <w:ind w:left="5585" w:hanging="360"/>
      </w:pPr>
    </w:lvl>
    <w:lvl w:ilvl="5" w:tplc="FFFFFFFF" w:tentative="1">
      <w:start w:val="1"/>
      <w:numFmt w:val="lowerRoman"/>
      <w:lvlText w:val="%6."/>
      <w:lvlJc w:val="right"/>
      <w:pPr>
        <w:ind w:left="6305" w:hanging="180"/>
      </w:pPr>
    </w:lvl>
    <w:lvl w:ilvl="6" w:tplc="FFFFFFFF" w:tentative="1">
      <w:start w:val="1"/>
      <w:numFmt w:val="decimal"/>
      <w:lvlText w:val="%7."/>
      <w:lvlJc w:val="left"/>
      <w:pPr>
        <w:ind w:left="7025" w:hanging="360"/>
      </w:pPr>
    </w:lvl>
    <w:lvl w:ilvl="7" w:tplc="FFFFFFFF" w:tentative="1">
      <w:start w:val="1"/>
      <w:numFmt w:val="lowerLetter"/>
      <w:lvlText w:val="%8."/>
      <w:lvlJc w:val="left"/>
      <w:pPr>
        <w:ind w:left="7745" w:hanging="360"/>
      </w:pPr>
    </w:lvl>
    <w:lvl w:ilvl="8" w:tplc="FFFFFFFF" w:tentative="1">
      <w:start w:val="1"/>
      <w:numFmt w:val="lowerRoman"/>
      <w:lvlText w:val="%9."/>
      <w:lvlJc w:val="right"/>
      <w:pPr>
        <w:ind w:left="8465" w:hanging="180"/>
      </w:pPr>
    </w:lvl>
  </w:abstractNum>
  <w:abstractNum w:abstractNumId="27" w15:restartNumberingAfterBreak="0">
    <w:nsid w:val="6077720D"/>
    <w:multiLevelType w:val="hybridMultilevel"/>
    <w:tmpl w:val="49408190"/>
    <w:lvl w:ilvl="0" w:tplc="D16A7704">
      <w:start w:val="1"/>
      <w:numFmt w:val="lowerLetter"/>
      <w:lvlText w:val="%1)"/>
      <w:lvlJc w:val="left"/>
      <w:pPr>
        <w:ind w:left="720" w:hanging="360"/>
      </w:pPr>
    </w:lvl>
    <w:lvl w:ilvl="1" w:tplc="430203A0">
      <w:start w:val="1"/>
      <w:numFmt w:val="lowerLetter"/>
      <w:lvlText w:val="%2)"/>
      <w:lvlJc w:val="left"/>
      <w:pPr>
        <w:ind w:left="720" w:hanging="360"/>
      </w:pPr>
    </w:lvl>
    <w:lvl w:ilvl="2" w:tplc="945ADABE">
      <w:start w:val="1"/>
      <w:numFmt w:val="lowerLetter"/>
      <w:lvlText w:val="%3)"/>
      <w:lvlJc w:val="left"/>
      <w:pPr>
        <w:ind w:left="720" w:hanging="360"/>
      </w:pPr>
    </w:lvl>
    <w:lvl w:ilvl="3" w:tplc="516AC092">
      <w:start w:val="1"/>
      <w:numFmt w:val="lowerLetter"/>
      <w:lvlText w:val="%4)"/>
      <w:lvlJc w:val="left"/>
      <w:pPr>
        <w:ind w:left="720" w:hanging="360"/>
      </w:pPr>
    </w:lvl>
    <w:lvl w:ilvl="4" w:tplc="2828F29C">
      <w:start w:val="1"/>
      <w:numFmt w:val="lowerLetter"/>
      <w:lvlText w:val="%5)"/>
      <w:lvlJc w:val="left"/>
      <w:pPr>
        <w:ind w:left="720" w:hanging="360"/>
      </w:pPr>
    </w:lvl>
    <w:lvl w:ilvl="5" w:tplc="F02C475E">
      <w:start w:val="1"/>
      <w:numFmt w:val="lowerLetter"/>
      <w:lvlText w:val="%6)"/>
      <w:lvlJc w:val="left"/>
      <w:pPr>
        <w:ind w:left="720" w:hanging="360"/>
      </w:pPr>
    </w:lvl>
    <w:lvl w:ilvl="6" w:tplc="33CC7FEA">
      <w:start w:val="1"/>
      <w:numFmt w:val="lowerLetter"/>
      <w:lvlText w:val="%7)"/>
      <w:lvlJc w:val="left"/>
      <w:pPr>
        <w:ind w:left="720" w:hanging="360"/>
      </w:pPr>
    </w:lvl>
    <w:lvl w:ilvl="7" w:tplc="A2227E94">
      <w:start w:val="1"/>
      <w:numFmt w:val="lowerLetter"/>
      <w:lvlText w:val="%8)"/>
      <w:lvlJc w:val="left"/>
      <w:pPr>
        <w:ind w:left="720" w:hanging="360"/>
      </w:pPr>
    </w:lvl>
    <w:lvl w:ilvl="8" w:tplc="8E96AE22">
      <w:start w:val="1"/>
      <w:numFmt w:val="lowerLetter"/>
      <w:lvlText w:val="%9)"/>
      <w:lvlJc w:val="left"/>
      <w:pPr>
        <w:ind w:left="720" w:hanging="360"/>
      </w:pPr>
    </w:lvl>
  </w:abstractNum>
  <w:abstractNum w:abstractNumId="28" w15:restartNumberingAfterBreak="0">
    <w:nsid w:val="620941DD"/>
    <w:multiLevelType w:val="hybridMultilevel"/>
    <w:tmpl w:val="18386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3A1786"/>
    <w:multiLevelType w:val="hybridMultilevel"/>
    <w:tmpl w:val="5CFC89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E70052"/>
    <w:multiLevelType w:val="hybridMultilevel"/>
    <w:tmpl w:val="DF0EA6E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6B6D05A8"/>
    <w:multiLevelType w:val="hybridMultilevel"/>
    <w:tmpl w:val="DE5CF58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2" w15:restartNumberingAfterBreak="0">
    <w:nsid w:val="6B822C1C"/>
    <w:multiLevelType w:val="hybridMultilevel"/>
    <w:tmpl w:val="DB8C3764"/>
    <w:lvl w:ilvl="0" w:tplc="72742D4C">
      <w:start w:val="1"/>
      <w:numFmt w:val="bullet"/>
      <w:lvlText w:val=""/>
      <w:lvlJc w:val="left"/>
      <w:pPr>
        <w:ind w:left="360" w:hanging="360"/>
      </w:pPr>
      <w:rPr>
        <w:rFonts w:ascii="Symbol" w:hAnsi="Symbol" w:hint="default"/>
      </w:rPr>
    </w:lvl>
    <w:lvl w:ilvl="1" w:tplc="38BC1642">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4AF2524"/>
    <w:multiLevelType w:val="hybridMultilevel"/>
    <w:tmpl w:val="7C6A6354"/>
    <w:lvl w:ilvl="0" w:tplc="F6CA3356">
      <w:start w:val="1"/>
      <w:numFmt w:val="decimal"/>
      <w:pStyle w:val="Seznamsodrkami3"/>
      <w:lvlText w:val="%1."/>
      <w:lvlJc w:val="left"/>
      <w:pPr>
        <w:ind w:left="720" w:hanging="360"/>
      </w:pPr>
      <w:rPr>
        <w:rFonts w:ascii="Verdana" w:hAnsi="Verdana" w:cs="Times New Roman"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9217B3"/>
    <w:multiLevelType w:val="hybridMultilevel"/>
    <w:tmpl w:val="B18A906C"/>
    <w:lvl w:ilvl="0" w:tplc="FFFFFFFF">
      <w:start w:val="1"/>
      <w:numFmt w:val="lowerLetter"/>
      <w:lvlText w:val="%1)"/>
      <w:lvlJc w:val="left"/>
      <w:pPr>
        <w:ind w:left="720"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C3F5360"/>
    <w:multiLevelType w:val="hybridMultilevel"/>
    <w:tmpl w:val="93521DCC"/>
    <w:lvl w:ilvl="0" w:tplc="5A3E6B5C">
      <w:start w:val="1"/>
      <w:numFmt w:val="bullet"/>
      <w:lvlText w:val=""/>
      <w:lvlJc w:val="left"/>
      <w:pPr>
        <w:ind w:left="720" w:hanging="360"/>
      </w:pPr>
      <w:rPr>
        <w:rFonts w:ascii="Symbol" w:hAnsi="Symbol"/>
      </w:rPr>
    </w:lvl>
    <w:lvl w:ilvl="1" w:tplc="1EA8654C">
      <w:start w:val="1"/>
      <w:numFmt w:val="bullet"/>
      <w:lvlText w:val=""/>
      <w:lvlJc w:val="left"/>
      <w:pPr>
        <w:ind w:left="720" w:hanging="360"/>
      </w:pPr>
      <w:rPr>
        <w:rFonts w:ascii="Symbol" w:hAnsi="Symbol"/>
      </w:rPr>
    </w:lvl>
    <w:lvl w:ilvl="2" w:tplc="86D4030E">
      <w:start w:val="1"/>
      <w:numFmt w:val="bullet"/>
      <w:lvlText w:val=""/>
      <w:lvlJc w:val="left"/>
      <w:pPr>
        <w:ind w:left="720" w:hanging="360"/>
      </w:pPr>
      <w:rPr>
        <w:rFonts w:ascii="Symbol" w:hAnsi="Symbol"/>
      </w:rPr>
    </w:lvl>
    <w:lvl w:ilvl="3" w:tplc="7DA249DC">
      <w:start w:val="1"/>
      <w:numFmt w:val="bullet"/>
      <w:lvlText w:val=""/>
      <w:lvlJc w:val="left"/>
      <w:pPr>
        <w:ind w:left="720" w:hanging="360"/>
      </w:pPr>
      <w:rPr>
        <w:rFonts w:ascii="Symbol" w:hAnsi="Symbol"/>
      </w:rPr>
    </w:lvl>
    <w:lvl w:ilvl="4" w:tplc="E5266F5A">
      <w:start w:val="1"/>
      <w:numFmt w:val="bullet"/>
      <w:lvlText w:val=""/>
      <w:lvlJc w:val="left"/>
      <w:pPr>
        <w:ind w:left="720" w:hanging="360"/>
      </w:pPr>
      <w:rPr>
        <w:rFonts w:ascii="Symbol" w:hAnsi="Symbol"/>
      </w:rPr>
    </w:lvl>
    <w:lvl w:ilvl="5" w:tplc="6A1401B6">
      <w:start w:val="1"/>
      <w:numFmt w:val="bullet"/>
      <w:lvlText w:val=""/>
      <w:lvlJc w:val="left"/>
      <w:pPr>
        <w:ind w:left="720" w:hanging="360"/>
      </w:pPr>
      <w:rPr>
        <w:rFonts w:ascii="Symbol" w:hAnsi="Symbol"/>
      </w:rPr>
    </w:lvl>
    <w:lvl w:ilvl="6" w:tplc="F1585C74">
      <w:start w:val="1"/>
      <w:numFmt w:val="bullet"/>
      <w:lvlText w:val=""/>
      <w:lvlJc w:val="left"/>
      <w:pPr>
        <w:ind w:left="720" w:hanging="360"/>
      </w:pPr>
      <w:rPr>
        <w:rFonts w:ascii="Symbol" w:hAnsi="Symbol"/>
      </w:rPr>
    </w:lvl>
    <w:lvl w:ilvl="7" w:tplc="2086202A">
      <w:start w:val="1"/>
      <w:numFmt w:val="bullet"/>
      <w:lvlText w:val=""/>
      <w:lvlJc w:val="left"/>
      <w:pPr>
        <w:ind w:left="720" w:hanging="360"/>
      </w:pPr>
      <w:rPr>
        <w:rFonts w:ascii="Symbol" w:hAnsi="Symbol"/>
      </w:rPr>
    </w:lvl>
    <w:lvl w:ilvl="8" w:tplc="5F6ACADA">
      <w:start w:val="1"/>
      <w:numFmt w:val="bullet"/>
      <w:lvlText w:val=""/>
      <w:lvlJc w:val="left"/>
      <w:pPr>
        <w:ind w:left="720" w:hanging="360"/>
      </w:pPr>
      <w:rPr>
        <w:rFonts w:ascii="Symbol" w:hAnsi="Symbol"/>
      </w:rPr>
    </w:lvl>
  </w:abstractNum>
  <w:abstractNum w:abstractNumId="37" w15:restartNumberingAfterBreak="0">
    <w:nsid w:val="7EB41F0F"/>
    <w:multiLevelType w:val="hybridMultilevel"/>
    <w:tmpl w:val="782A6848"/>
    <w:lvl w:ilvl="0" w:tplc="04050017">
      <w:start w:val="1"/>
      <w:numFmt w:val="lowerLetter"/>
      <w:lvlText w:val="%1)"/>
      <w:lvlJc w:val="left"/>
      <w:pPr>
        <w:ind w:left="2705" w:hanging="360"/>
      </w:pPr>
    </w:lvl>
    <w:lvl w:ilvl="1" w:tplc="04050019">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38" w15:restartNumberingAfterBreak="0">
    <w:nsid w:val="7EEC7791"/>
    <w:multiLevelType w:val="hybridMultilevel"/>
    <w:tmpl w:val="A5B21C44"/>
    <w:lvl w:ilvl="0" w:tplc="BDB8DE2E">
      <w:start w:val="1"/>
      <w:numFmt w:val="bullet"/>
      <w:lvlText w:val=""/>
      <w:lvlJc w:val="left"/>
      <w:pPr>
        <w:ind w:left="720" w:hanging="360"/>
      </w:pPr>
      <w:rPr>
        <w:rFonts w:ascii="Symbol" w:hAnsi="Symbol"/>
      </w:rPr>
    </w:lvl>
    <w:lvl w:ilvl="1" w:tplc="06AEB8AC">
      <w:start w:val="1"/>
      <w:numFmt w:val="bullet"/>
      <w:lvlText w:val=""/>
      <w:lvlJc w:val="left"/>
      <w:pPr>
        <w:ind w:left="720" w:hanging="360"/>
      </w:pPr>
      <w:rPr>
        <w:rFonts w:ascii="Symbol" w:hAnsi="Symbol"/>
      </w:rPr>
    </w:lvl>
    <w:lvl w:ilvl="2" w:tplc="1CCE7F2E">
      <w:start w:val="1"/>
      <w:numFmt w:val="bullet"/>
      <w:lvlText w:val=""/>
      <w:lvlJc w:val="left"/>
      <w:pPr>
        <w:ind w:left="720" w:hanging="360"/>
      </w:pPr>
      <w:rPr>
        <w:rFonts w:ascii="Symbol" w:hAnsi="Symbol"/>
      </w:rPr>
    </w:lvl>
    <w:lvl w:ilvl="3" w:tplc="9CB41300">
      <w:start w:val="1"/>
      <w:numFmt w:val="bullet"/>
      <w:lvlText w:val=""/>
      <w:lvlJc w:val="left"/>
      <w:pPr>
        <w:ind w:left="720" w:hanging="360"/>
      </w:pPr>
      <w:rPr>
        <w:rFonts w:ascii="Symbol" w:hAnsi="Symbol"/>
      </w:rPr>
    </w:lvl>
    <w:lvl w:ilvl="4" w:tplc="341EDDEA">
      <w:start w:val="1"/>
      <w:numFmt w:val="bullet"/>
      <w:lvlText w:val=""/>
      <w:lvlJc w:val="left"/>
      <w:pPr>
        <w:ind w:left="720" w:hanging="360"/>
      </w:pPr>
      <w:rPr>
        <w:rFonts w:ascii="Symbol" w:hAnsi="Symbol"/>
      </w:rPr>
    </w:lvl>
    <w:lvl w:ilvl="5" w:tplc="D58E6876">
      <w:start w:val="1"/>
      <w:numFmt w:val="bullet"/>
      <w:lvlText w:val=""/>
      <w:lvlJc w:val="left"/>
      <w:pPr>
        <w:ind w:left="720" w:hanging="360"/>
      </w:pPr>
      <w:rPr>
        <w:rFonts w:ascii="Symbol" w:hAnsi="Symbol"/>
      </w:rPr>
    </w:lvl>
    <w:lvl w:ilvl="6" w:tplc="D49031C2">
      <w:start w:val="1"/>
      <w:numFmt w:val="bullet"/>
      <w:lvlText w:val=""/>
      <w:lvlJc w:val="left"/>
      <w:pPr>
        <w:ind w:left="720" w:hanging="360"/>
      </w:pPr>
      <w:rPr>
        <w:rFonts w:ascii="Symbol" w:hAnsi="Symbol"/>
      </w:rPr>
    </w:lvl>
    <w:lvl w:ilvl="7" w:tplc="64E29DB2">
      <w:start w:val="1"/>
      <w:numFmt w:val="bullet"/>
      <w:lvlText w:val=""/>
      <w:lvlJc w:val="left"/>
      <w:pPr>
        <w:ind w:left="720" w:hanging="360"/>
      </w:pPr>
      <w:rPr>
        <w:rFonts w:ascii="Symbol" w:hAnsi="Symbol"/>
      </w:rPr>
    </w:lvl>
    <w:lvl w:ilvl="8" w:tplc="650C1C88">
      <w:start w:val="1"/>
      <w:numFmt w:val="bullet"/>
      <w:lvlText w:val=""/>
      <w:lvlJc w:val="left"/>
      <w:pPr>
        <w:ind w:left="720" w:hanging="360"/>
      </w:pPr>
      <w:rPr>
        <w:rFonts w:ascii="Symbol" w:hAnsi="Symbol"/>
      </w:rPr>
    </w:lvl>
  </w:abstractNum>
  <w:abstractNum w:abstractNumId="39" w15:restartNumberingAfterBreak="0">
    <w:nsid w:val="7F997526"/>
    <w:multiLevelType w:val="hybridMultilevel"/>
    <w:tmpl w:val="782A6848"/>
    <w:lvl w:ilvl="0" w:tplc="FFFFFFFF">
      <w:start w:val="1"/>
      <w:numFmt w:val="lowerLetter"/>
      <w:lvlText w:val="%1)"/>
      <w:lvlJc w:val="left"/>
      <w:pPr>
        <w:ind w:left="2705" w:hanging="360"/>
      </w:pPr>
    </w:lvl>
    <w:lvl w:ilvl="1" w:tplc="FFFFFFFF">
      <w:start w:val="1"/>
      <w:numFmt w:val="lowerLetter"/>
      <w:lvlText w:val="%2."/>
      <w:lvlJc w:val="left"/>
      <w:pPr>
        <w:ind w:left="3425" w:hanging="360"/>
      </w:pPr>
    </w:lvl>
    <w:lvl w:ilvl="2" w:tplc="FFFFFFFF" w:tentative="1">
      <w:start w:val="1"/>
      <w:numFmt w:val="lowerRoman"/>
      <w:lvlText w:val="%3."/>
      <w:lvlJc w:val="right"/>
      <w:pPr>
        <w:ind w:left="4145" w:hanging="180"/>
      </w:pPr>
    </w:lvl>
    <w:lvl w:ilvl="3" w:tplc="FFFFFFFF" w:tentative="1">
      <w:start w:val="1"/>
      <w:numFmt w:val="decimal"/>
      <w:lvlText w:val="%4."/>
      <w:lvlJc w:val="left"/>
      <w:pPr>
        <w:ind w:left="4865" w:hanging="360"/>
      </w:pPr>
    </w:lvl>
    <w:lvl w:ilvl="4" w:tplc="FFFFFFFF" w:tentative="1">
      <w:start w:val="1"/>
      <w:numFmt w:val="lowerLetter"/>
      <w:lvlText w:val="%5."/>
      <w:lvlJc w:val="left"/>
      <w:pPr>
        <w:ind w:left="5585" w:hanging="360"/>
      </w:pPr>
    </w:lvl>
    <w:lvl w:ilvl="5" w:tplc="FFFFFFFF" w:tentative="1">
      <w:start w:val="1"/>
      <w:numFmt w:val="lowerRoman"/>
      <w:lvlText w:val="%6."/>
      <w:lvlJc w:val="right"/>
      <w:pPr>
        <w:ind w:left="6305" w:hanging="180"/>
      </w:pPr>
    </w:lvl>
    <w:lvl w:ilvl="6" w:tplc="FFFFFFFF" w:tentative="1">
      <w:start w:val="1"/>
      <w:numFmt w:val="decimal"/>
      <w:lvlText w:val="%7."/>
      <w:lvlJc w:val="left"/>
      <w:pPr>
        <w:ind w:left="7025" w:hanging="360"/>
      </w:pPr>
    </w:lvl>
    <w:lvl w:ilvl="7" w:tplc="FFFFFFFF" w:tentative="1">
      <w:start w:val="1"/>
      <w:numFmt w:val="lowerLetter"/>
      <w:lvlText w:val="%8."/>
      <w:lvlJc w:val="left"/>
      <w:pPr>
        <w:ind w:left="7745" w:hanging="360"/>
      </w:pPr>
    </w:lvl>
    <w:lvl w:ilvl="8" w:tplc="FFFFFFFF" w:tentative="1">
      <w:start w:val="1"/>
      <w:numFmt w:val="lowerRoman"/>
      <w:lvlText w:val="%9."/>
      <w:lvlJc w:val="right"/>
      <w:pPr>
        <w:ind w:left="8465" w:hanging="180"/>
      </w:pPr>
    </w:lvl>
  </w:abstractNum>
  <w:num w:numId="1" w16cid:durableId="482891932">
    <w:abstractNumId w:val="0"/>
  </w:num>
  <w:num w:numId="2" w16cid:durableId="403722251">
    <w:abstractNumId w:val="16"/>
  </w:num>
  <w:num w:numId="3" w16cid:durableId="36852963">
    <w:abstractNumId w:val="15"/>
  </w:num>
  <w:num w:numId="4" w16cid:durableId="2036996542">
    <w:abstractNumId w:val="30"/>
  </w:num>
  <w:num w:numId="5" w16cid:durableId="1676377741">
    <w:abstractNumId w:val="24"/>
  </w:num>
  <w:num w:numId="6" w16cid:durableId="1479567266">
    <w:abstractNumId w:val="21"/>
  </w:num>
  <w:num w:numId="7" w16cid:durableId="1445343224">
    <w:abstractNumId w:val="37"/>
  </w:num>
  <w:num w:numId="8" w16cid:durableId="1391029314">
    <w:abstractNumId w:val="25"/>
  </w:num>
  <w:num w:numId="9" w16cid:durableId="2109809289">
    <w:abstractNumId w:val="7"/>
  </w:num>
  <w:num w:numId="10" w16cid:durableId="376318431">
    <w:abstractNumId w:val="11"/>
  </w:num>
  <w:num w:numId="11" w16cid:durableId="1791508702">
    <w:abstractNumId w:val="20"/>
  </w:num>
  <w:num w:numId="12" w16cid:durableId="162204390">
    <w:abstractNumId w:val="14"/>
  </w:num>
  <w:num w:numId="13" w16cid:durableId="77136082">
    <w:abstractNumId w:val="19"/>
  </w:num>
  <w:num w:numId="14" w16cid:durableId="254555776">
    <w:abstractNumId w:val="29"/>
  </w:num>
  <w:num w:numId="15" w16cid:durableId="451679141">
    <w:abstractNumId w:val="12"/>
  </w:num>
  <w:num w:numId="16" w16cid:durableId="1085565741">
    <w:abstractNumId w:val="28"/>
  </w:num>
  <w:num w:numId="17" w16cid:durableId="1603101095">
    <w:abstractNumId w:val="1"/>
  </w:num>
  <w:num w:numId="18" w16cid:durableId="2124111756">
    <w:abstractNumId w:val="5"/>
  </w:num>
  <w:num w:numId="19" w16cid:durableId="1942250970">
    <w:abstractNumId w:val="35"/>
  </w:num>
  <w:num w:numId="20" w16cid:durableId="597762738">
    <w:abstractNumId w:val="32"/>
  </w:num>
  <w:num w:numId="21" w16cid:durableId="1026979613">
    <w:abstractNumId w:val="22"/>
  </w:num>
  <w:num w:numId="22" w16cid:durableId="526793021">
    <w:abstractNumId w:val="23"/>
  </w:num>
  <w:num w:numId="23" w16cid:durableId="1887377551">
    <w:abstractNumId w:val="2"/>
  </w:num>
  <w:num w:numId="24" w16cid:durableId="961230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3647835">
    <w:abstractNumId w:val="26"/>
  </w:num>
  <w:num w:numId="26" w16cid:durableId="859702892">
    <w:abstractNumId w:val="39"/>
  </w:num>
  <w:num w:numId="27" w16cid:durableId="843588592">
    <w:abstractNumId w:val="4"/>
  </w:num>
  <w:num w:numId="28" w16cid:durableId="1847866881">
    <w:abstractNumId w:val="17"/>
  </w:num>
  <w:num w:numId="29" w16cid:durableId="1830099961">
    <w:abstractNumId w:val="34"/>
  </w:num>
  <w:num w:numId="30" w16cid:durableId="1810852917">
    <w:abstractNumId w:val="9"/>
  </w:num>
  <w:num w:numId="31" w16cid:durableId="251862409">
    <w:abstractNumId w:val="8"/>
  </w:num>
  <w:num w:numId="32" w16cid:durableId="2066102675">
    <w:abstractNumId w:val="18"/>
  </w:num>
  <w:num w:numId="33" w16cid:durableId="1498039453">
    <w:abstractNumId w:val="13"/>
  </w:num>
  <w:num w:numId="34" w16cid:durableId="1427654582">
    <w:abstractNumId w:val="6"/>
  </w:num>
  <w:num w:numId="35" w16cid:durableId="75325204">
    <w:abstractNumId w:val="33"/>
  </w:num>
  <w:num w:numId="36" w16cid:durableId="589969008">
    <w:abstractNumId w:val="31"/>
  </w:num>
  <w:num w:numId="37" w16cid:durableId="1714038445">
    <w:abstractNumId w:val="36"/>
  </w:num>
  <w:num w:numId="38" w16cid:durableId="898132021">
    <w:abstractNumId w:val="3"/>
  </w:num>
  <w:num w:numId="39" w16cid:durableId="360596694">
    <w:abstractNumId w:val="38"/>
  </w:num>
  <w:num w:numId="40" w16cid:durableId="402024025">
    <w:abstractNumId w:val="10"/>
  </w:num>
  <w:num w:numId="41" w16cid:durableId="1380520639">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1EE"/>
    <w:rsid w:val="000003D0"/>
    <w:rsid w:val="00000593"/>
    <w:rsid w:val="000027B0"/>
    <w:rsid w:val="00003E13"/>
    <w:rsid w:val="00004EB5"/>
    <w:rsid w:val="00005581"/>
    <w:rsid w:val="00005FF1"/>
    <w:rsid w:val="00007D5B"/>
    <w:rsid w:val="00011A56"/>
    <w:rsid w:val="000121AF"/>
    <w:rsid w:val="00013D64"/>
    <w:rsid w:val="00014D51"/>
    <w:rsid w:val="000160D5"/>
    <w:rsid w:val="000207AA"/>
    <w:rsid w:val="00020C24"/>
    <w:rsid w:val="00025750"/>
    <w:rsid w:val="00027562"/>
    <w:rsid w:val="000304D4"/>
    <w:rsid w:val="00031619"/>
    <w:rsid w:val="0003172C"/>
    <w:rsid w:val="00031859"/>
    <w:rsid w:val="0003386A"/>
    <w:rsid w:val="00033FE7"/>
    <w:rsid w:val="00034097"/>
    <w:rsid w:val="000364DE"/>
    <w:rsid w:val="000364F9"/>
    <w:rsid w:val="0003675C"/>
    <w:rsid w:val="000375CC"/>
    <w:rsid w:val="0004020F"/>
    <w:rsid w:val="00041EA8"/>
    <w:rsid w:val="000431AE"/>
    <w:rsid w:val="0004487B"/>
    <w:rsid w:val="00046BF5"/>
    <w:rsid w:val="00052254"/>
    <w:rsid w:val="000540F8"/>
    <w:rsid w:val="000543D5"/>
    <w:rsid w:val="00056484"/>
    <w:rsid w:val="00057AA1"/>
    <w:rsid w:val="00063CA7"/>
    <w:rsid w:val="00065742"/>
    <w:rsid w:val="00065E88"/>
    <w:rsid w:val="000737CD"/>
    <w:rsid w:val="00074F5A"/>
    <w:rsid w:val="00075627"/>
    <w:rsid w:val="00077849"/>
    <w:rsid w:val="000804E6"/>
    <w:rsid w:val="00080C52"/>
    <w:rsid w:val="0008244A"/>
    <w:rsid w:val="000836BF"/>
    <w:rsid w:val="00084017"/>
    <w:rsid w:val="0008585F"/>
    <w:rsid w:val="00086F25"/>
    <w:rsid w:val="00087EA0"/>
    <w:rsid w:val="00090EEB"/>
    <w:rsid w:val="00090F27"/>
    <w:rsid w:val="00093E69"/>
    <w:rsid w:val="00094008"/>
    <w:rsid w:val="0009429E"/>
    <w:rsid w:val="00095A95"/>
    <w:rsid w:val="000973FF"/>
    <w:rsid w:val="000978DF"/>
    <w:rsid w:val="000A0D06"/>
    <w:rsid w:val="000A209B"/>
    <w:rsid w:val="000A3BA8"/>
    <w:rsid w:val="000A4608"/>
    <w:rsid w:val="000A4CDF"/>
    <w:rsid w:val="000A53EA"/>
    <w:rsid w:val="000A7337"/>
    <w:rsid w:val="000B0350"/>
    <w:rsid w:val="000B094A"/>
    <w:rsid w:val="000B2487"/>
    <w:rsid w:val="000B33B7"/>
    <w:rsid w:val="000B426B"/>
    <w:rsid w:val="000C1245"/>
    <w:rsid w:val="000C17F7"/>
    <w:rsid w:val="000C35EA"/>
    <w:rsid w:val="000C410E"/>
    <w:rsid w:val="000C52A4"/>
    <w:rsid w:val="000C6774"/>
    <w:rsid w:val="000D166D"/>
    <w:rsid w:val="000D16E8"/>
    <w:rsid w:val="000D2319"/>
    <w:rsid w:val="000D263D"/>
    <w:rsid w:val="000D2A69"/>
    <w:rsid w:val="000D7B28"/>
    <w:rsid w:val="000E0320"/>
    <w:rsid w:val="000E53E6"/>
    <w:rsid w:val="000F00FD"/>
    <w:rsid w:val="000F200E"/>
    <w:rsid w:val="000F2342"/>
    <w:rsid w:val="000F2A76"/>
    <w:rsid w:val="000F6C7B"/>
    <w:rsid w:val="000F7103"/>
    <w:rsid w:val="000F731E"/>
    <w:rsid w:val="001017D3"/>
    <w:rsid w:val="001020E7"/>
    <w:rsid w:val="00106DBF"/>
    <w:rsid w:val="0011325E"/>
    <w:rsid w:val="00116F90"/>
    <w:rsid w:val="00120242"/>
    <w:rsid w:val="00121E34"/>
    <w:rsid w:val="00122B29"/>
    <w:rsid w:val="00122B43"/>
    <w:rsid w:val="00126305"/>
    <w:rsid w:val="00127392"/>
    <w:rsid w:val="001274DA"/>
    <w:rsid w:val="00127826"/>
    <w:rsid w:val="0013120F"/>
    <w:rsid w:val="00131C7E"/>
    <w:rsid w:val="001323AB"/>
    <w:rsid w:val="00134487"/>
    <w:rsid w:val="001402FD"/>
    <w:rsid w:val="00140486"/>
    <w:rsid w:val="0014091F"/>
    <w:rsid w:val="001414AB"/>
    <w:rsid w:val="00141520"/>
    <w:rsid w:val="001444F9"/>
    <w:rsid w:val="00152E15"/>
    <w:rsid w:val="0015371B"/>
    <w:rsid w:val="001549EC"/>
    <w:rsid w:val="001571EC"/>
    <w:rsid w:val="001579E6"/>
    <w:rsid w:val="0016041E"/>
    <w:rsid w:val="001604CB"/>
    <w:rsid w:val="00163A7D"/>
    <w:rsid w:val="00165078"/>
    <w:rsid w:val="001655CC"/>
    <w:rsid w:val="00170002"/>
    <w:rsid w:val="00171A40"/>
    <w:rsid w:val="001725F1"/>
    <w:rsid w:val="00173E30"/>
    <w:rsid w:val="001740D5"/>
    <w:rsid w:val="001751B4"/>
    <w:rsid w:val="0017594D"/>
    <w:rsid w:val="001771ED"/>
    <w:rsid w:val="0017757A"/>
    <w:rsid w:val="0018072F"/>
    <w:rsid w:val="001825C2"/>
    <w:rsid w:val="00182A09"/>
    <w:rsid w:val="00183EA8"/>
    <w:rsid w:val="00186522"/>
    <w:rsid w:val="0018655D"/>
    <w:rsid w:val="0018663E"/>
    <w:rsid w:val="0018666A"/>
    <w:rsid w:val="001874F6"/>
    <w:rsid w:val="00190478"/>
    <w:rsid w:val="001913CC"/>
    <w:rsid w:val="00194342"/>
    <w:rsid w:val="00194D5B"/>
    <w:rsid w:val="001975D7"/>
    <w:rsid w:val="00197FDB"/>
    <w:rsid w:val="001A0550"/>
    <w:rsid w:val="001A0588"/>
    <w:rsid w:val="001A0BEA"/>
    <w:rsid w:val="001A326B"/>
    <w:rsid w:val="001A5B08"/>
    <w:rsid w:val="001A6FE0"/>
    <w:rsid w:val="001A71F2"/>
    <w:rsid w:val="001B01C4"/>
    <w:rsid w:val="001B3A1A"/>
    <w:rsid w:val="001B4E7E"/>
    <w:rsid w:val="001B5723"/>
    <w:rsid w:val="001B5A0A"/>
    <w:rsid w:val="001C0210"/>
    <w:rsid w:val="001C0415"/>
    <w:rsid w:val="001C335B"/>
    <w:rsid w:val="001C43A7"/>
    <w:rsid w:val="001C43B6"/>
    <w:rsid w:val="001C49D3"/>
    <w:rsid w:val="001C708C"/>
    <w:rsid w:val="001D3CE8"/>
    <w:rsid w:val="001D5069"/>
    <w:rsid w:val="001D5914"/>
    <w:rsid w:val="001D7656"/>
    <w:rsid w:val="001D77EE"/>
    <w:rsid w:val="001E01B6"/>
    <w:rsid w:val="001E0257"/>
    <w:rsid w:val="001E196C"/>
    <w:rsid w:val="001E64B0"/>
    <w:rsid w:val="001E7260"/>
    <w:rsid w:val="001F22D3"/>
    <w:rsid w:val="001F29DC"/>
    <w:rsid w:val="001F3E28"/>
    <w:rsid w:val="001F4209"/>
    <w:rsid w:val="001F456E"/>
    <w:rsid w:val="001F65CF"/>
    <w:rsid w:val="00202FC4"/>
    <w:rsid w:val="0020407F"/>
    <w:rsid w:val="002042A5"/>
    <w:rsid w:val="002047E4"/>
    <w:rsid w:val="002066DD"/>
    <w:rsid w:val="0020670A"/>
    <w:rsid w:val="00207035"/>
    <w:rsid w:val="002139A4"/>
    <w:rsid w:val="00213FA9"/>
    <w:rsid w:val="00215ED5"/>
    <w:rsid w:val="00222509"/>
    <w:rsid w:val="00222548"/>
    <w:rsid w:val="00222ECE"/>
    <w:rsid w:val="00227CEC"/>
    <w:rsid w:val="0023182B"/>
    <w:rsid w:val="0023198A"/>
    <w:rsid w:val="00234969"/>
    <w:rsid w:val="00243098"/>
    <w:rsid w:val="0024309A"/>
    <w:rsid w:val="0024328A"/>
    <w:rsid w:val="00243BC2"/>
    <w:rsid w:val="0024657F"/>
    <w:rsid w:val="00246E8D"/>
    <w:rsid w:val="0024750D"/>
    <w:rsid w:val="00247BF0"/>
    <w:rsid w:val="002506FC"/>
    <w:rsid w:val="00252D1C"/>
    <w:rsid w:val="00252DAC"/>
    <w:rsid w:val="0025509F"/>
    <w:rsid w:val="002557CD"/>
    <w:rsid w:val="00256E30"/>
    <w:rsid w:val="00260D17"/>
    <w:rsid w:val="00261057"/>
    <w:rsid w:val="002627B4"/>
    <w:rsid w:val="00263D9E"/>
    <w:rsid w:val="00265AE4"/>
    <w:rsid w:val="00266FF5"/>
    <w:rsid w:val="00270612"/>
    <w:rsid w:val="00271BC8"/>
    <w:rsid w:val="002726D6"/>
    <w:rsid w:val="002734B8"/>
    <w:rsid w:val="00273A60"/>
    <w:rsid w:val="00273BB1"/>
    <w:rsid w:val="00274065"/>
    <w:rsid w:val="0027728F"/>
    <w:rsid w:val="00277351"/>
    <w:rsid w:val="00281142"/>
    <w:rsid w:val="00281876"/>
    <w:rsid w:val="00282113"/>
    <w:rsid w:val="00283CB9"/>
    <w:rsid w:val="00287BC4"/>
    <w:rsid w:val="00291717"/>
    <w:rsid w:val="002921FA"/>
    <w:rsid w:val="002926A6"/>
    <w:rsid w:val="00292B67"/>
    <w:rsid w:val="00292FD5"/>
    <w:rsid w:val="002936DE"/>
    <w:rsid w:val="00296188"/>
    <w:rsid w:val="002963EB"/>
    <w:rsid w:val="00296909"/>
    <w:rsid w:val="00296A81"/>
    <w:rsid w:val="00297116"/>
    <w:rsid w:val="00297AA8"/>
    <w:rsid w:val="00297B3D"/>
    <w:rsid w:val="002A0168"/>
    <w:rsid w:val="002A56D8"/>
    <w:rsid w:val="002A7B06"/>
    <w:rsid w:val="002B1D4C"/>
    <w:rsid w:val="002B23EA"/>
    <w:rsid w:val="002B62F2"/>
    <w:rsid w:val="002C0DEA"/>
    <w:rsid w:val="002C0E99"/>
    <w:rsid w:val="002C10ED"/>
    <w:rsid w:val="002C21FA"/>
    <w:rsid w:val="002C225B"/>
    <w:rsid w:val="002C254D"/>
    <w:rsid w:val="002C2967"/>
    <w:rsid w:val="002C3889"/>
    <w:rsid w:val="002C3DA6"/>
    <w:rsid w:val="002C3E96"/>
    <w:rsid w:val="002C4C68"/>
    <w:rsid w:val="002C59C4"/>
    <w:rsid w:val="002C6042"/>
    <w:rsid w:val="002D1D8D"/>
    <w:rsid w:val="002D3C20"/>
    <w:rsid w:val="002D434D"/>
    <w:rsid w:val="002D69BD"/>
    <w:rsid w:val="002D6B07"/>
    <w:rsid w:val="002D7001"/>
    <w:rsid w:val="002E1B2C"/>
    <w:rsid w:val="002E48D8"/>
    <w:rsid w:val="002E5CDC"/>
    <w:rsid w:val="002F05D0"/>
    <w:rsid w:val="002F2094"/>
    <w:rsid w:val="002F2914"/>
    <w:rsid w:val="002F6D46"/>
    <w:rsid w:val="003006B2"/>
    <w:rsid w:val="00301759"/>
    <w:rsid w:val="00301945"/>
    <w:rsid w:val="00304D86"/>
    <w:rsid w:val="0030588A"/>
    <w:rsid w:val="00307AD1"/>
    <w:rsid w:val="0031165A"/>
    <w:rsid w:val="003117C4"/>
    <w:rsid w:val="00312D19"/>
    <w:rsid w:val="0031389E"/>
    <w:rsid w:val="00320492"/>
    <w:rsid w:val="00320A05"/>
    <w:rsid w:val="00321972"/>
    <w:rsid w:val="00321C3C"/>
    <w:rsid w:val="00326D72"/>
    <w:rsid w:val="00326EC6"/>
    <w:rsid w:val="00331B77"/>
    <w:rsid w:val="003328A1"/>
    <w:rsid w:val="003335A9"/>
    <w:rsid w:val="00333E12"/>
    <w:rsid w:val="00334C8D"/>
    <w:rsid w:val="00341AAD"/>
    <w:rsid w:val="003422F3"/>
    <w:rsid w:val="003456C0"/>
    <w:rsid w:val="0035002A"/>
    <w:rsid w:val="00350798"/>
    <w:rsid w:val="003559AD"/>
    <w:rsid w:val="00355C14"/>
    <w:rsid w:val="00355D22"/>
    <w:rsid w:val="00357940"/>
    <w:rsid w:val="00362278"/>
    <w:rsid w:val="00362462"/>
    <w:rsid w:val="003626FE"/>
    <w:rsid w:val="003628E7"/>
    <w:rsid w:val="00362D80"/>
    <w:rsid w:val="0036360F"/>
    <w:rsid w:val="00365C33"/>
    <w:rsid w:val="00370BB2"/>
    <w:rsid w:val="003727EC"/>
    <w:rsid w:val="00372EC4"/>
    <w:rsid w:val="0037303F"/>
    <w:rsid w:val="0037383B"/>
    <w:rsid w:val="003767AA"/>
    <w:rsid w:val="00376897"/>
    <w:rsid w:val="00377A8E"/>
    <w:rsid w:val="003826CD"/>
    <w:rsid w:val="00385CE3"/>
    <w:rsid w:val="00390A07"/>
    <w:rsid w:val="003947E3"/>
    <w:rsid w:val="00395F93"/>
    <w:rsid w:val="0039656E"/>
    <w:rsid w:val="0039662D"/>
    <w:rsid w:val="003A2DFE"/>
    <w:rsid w:val="003A48E3"/>
    <w:rsid w:val="003A4E92"/>
    <w:rsid w:val="003A4FD1"/>
    <w:rsid w:val="003A541B"/>
    <w:rsid w:val="003A640C"/>
    <w:rsid w:val="003A69D9"/>
    <w:rsid w:val="003A6BCE"/>
    <w:rsid w:val="003B091C"/>
    <w:rsid w:val="003B114D"/>
    <w:rsid w:val="003B2F03"/>
    <w:rsid w:val="003C3D28"/>
    <w:rsid w:val="003C5468"/>
    <w:rsid w:val="003C650E"/>
    <w:rsid w:val="003D03BC"/>
    <w:rsid w:val="003D0C91"/>
    <w:rsid w:val="003D4D14"/>
    <w:rsid w:val="003D62F1"/>
    <w:rsid w:val="003E0B02"/>
    <w:rsid w:val="003E138B"/>
    <w:rsid w:val="003E2810"/>
    <w:rsid w:val="003E30EE"/>
    <w:rsid w:val="003E64BD"/>
    <w:rsid w:val="003F0791"/>
    <w:rsid w:val="003F0C86"/>
    <w:rsid w:val="003F1C32"/>
    <w:rsid w:val="003F361B"/>
    <w:rsid w:val="003F36AA"/>
    <w:rsid w:val="003F4BA1"/>
    <w:rsid w:val="003F7157"/>
    <w:rsid w:val="00400946"/>
    <w:rsid w:val="00401F01"/>
    <w:rsid w:val="004026C9"/>
    <w:rsid w:val="00402CF0"/>
    <w:rsid w:val="00403982"/>
    <w:rsid w:val="00404F47"/>
    <w:rsid w:val="00405CF8"/>
    <w:rsid w:val="0041259E"/>
    <w:rsid w:val="004131E0"/>
    <w:rsid w:val="00414616"/>
    <w:rsid w:val="004158FD"/>
    <w:rsid w:val="00420E84"/>
    <w:rsid w:val="00422808"/>
    <w:rsid w:val="0042304F"/>
    <w:rsid w:val="004233A3"/>
    <w:rsid w:val="0042502B"/>
    <w:rsid w:val="004255E9"/>
    <w:rsid w:val="004256C3"/>
    <w:rsid w:val="00426431"/>
    <w:rsid w:val="00427BD4"/>
    <w:rsid w:val="0043262E"/>
    <w:rsid w:val="004326EB"/>
    <w:rsid w:val="00432C3E"/>
    <w:rsid w:val="00433116"/>
    <w:rsid w:val="00434304"/>
    <w:rsid w:val="00437809"/>
    <w:rsid w:val="00440800"/>
    <w:rsid w:val="00440A0B"/>
    <w:rsid w:val="00441215"/>
    <w:rsid w:val="004412E5"/>
    <w:rsid w:val="00441C45"/>
    <w:rsid w:val="00444DAA"/>
    <w:rsid w:val="00445024"/>
    <w:rsid w:val="0044555A"/>
    <w:rsid w:val="00447797"/>
    <w:rsid w:val="00450C9A"/>
    <w:rsid w:val="00452D2A"/>
    <w:rsid w:val="004565B5"/>
    <w:rsid w:val="00457174"/>
    <w:rsid w:val="0046354C"/>
    <w:rsid w:val="00463C4B"/>
    <w:rsid w:val="004646BB"/>
    <w:rsid w:val="00471F12"/>
    <w:rsid w:val="00472A25"/>
    <w:rsid w:val="00472D6D"/>
    <w:rsid w:val="00472DD4"/>
    <w:rsid w:val="004740CC"/>
    <w:rsid w:val="00477261"/>
    <w:rsid w:val="0048072F"/>
    <w:rsid w:val="00480838"/>
    <w:rsid w:val="00480BA0"/>
    <w:rsid w:val="00481F18"/>
    <w:rsid w:val="0048272C"/>
    <w:rsid w:val="00482DAE"/>
    <w:rsid w:val="00483AFC"/>
    <w:rsid w:val="00483EDB"/>
    <w:rsid w:val="00484E4F"/>
    <w:rsid w:val="004855CE"/>
    <w:rsid w:val="00490062"/>
    <w:rsid w:val="00490A65"/>
    <w:rsid w:val="00492C7C"/>
    <w:rsid w:val="00494CE7"/>
    <w:rsid w:val="00494D00"/>
    <w:rsid w:val="004A0C85"/>
    <w:rsid w:val="004A3366"/>
    <w:rsid w:val="004A52F9"/>
    <w:rsid w:val="004A6947"/>
    <w:rsid w:val="004A6DFD"/>
    <w:rsid w:val="004B28C7"/>
    <w:rsid w:val="004B35D6"/>
    <w:rsid w:val="004B361B"/>
    <w:rsid w:val="004B50DA"/>
    <w:rsid w:val="004C1D69"/>
    <w:rsid w:val="004C20DF"/>
    <w:rsid w:val="004C4FF0"/>
    <w:rsid w:val="004C6071"/>
    <w:rsid w:val="004C6A2D"/>
    <w:rsid w:val="004C6A32"/>
    <w:rsid w:val="004D07C0"/>
    <w:rsid w:val="004D1FC1"/>
    <w:rsid w:val="004D222F"/>
    <w:rsid w:val="004D5CE7"/>
    <w:rsid w:val="004E0E49"/>
    <w:rsid w:val="004E2751"/>
    <w:rsid w:val="004E3391"/>
    <w:rsid w:val="004F00F9"/>
    <w:rsid w:val="004F210A"/>
    <w:rsid w:val="004F2591"/>
    <w:rsid w:val="004F29F1"/>
    <w:rsid w:val="004F3D68"/>
    <w:rsid w:val="004F4E68"/>
    <w:rsid w:val="005008C4"/>
    <w:rsid w:val="005038C4"/>
    <w:rsid w:val="00506527"/>
    <w:rsid w:val="00507539"/>
    <w:rsid w:val="005157D4"/>
    <w:rsid w:val="005160FF"/>
    <w:rsid w:val="005163DE"/>
    <w:rsid w:val="0051671E"/>
    <w:rsid w:val="005208F2"/>
    <w:rsid w:val="00521772"/>
    <w:rsid w:val="00525275"/>
    <w:rsid w:val="00525CE8"/>
    <w:rsid w:val="00526339"/>
    <w:rsid w:val="0052692F"/>
    <w:rsid w:val="00527D85"/>
    <w:rsid w:val="005302F0"/>
    <w:rsid w:val="00530A60"/>
    <w:rsid w:val="00532157"/>
    <w:rsid w:val="005344A7"/>
    <w:rsid w:val="00535702"/>
    <w:rsid w:val="00535D70"/>
    <w:rsid w:val="00536545"/>
    <w:rsid w:val="00540D0F"/>
    <w:rsid w:val="0054136E"/>
    <w:rsid w:val="00543F99"/>
    <w:rsid w:val="00544C4F"/>
    <w:rsid w:val="00551908"/>
    <w:rsid w:val="00552508"/>
    <w:rsid w:val="0055394B"/>
    <w:rsid w:val="0055424C"/>
    <w:rsid w:val="0055456B"/>
    <w:rsid w:val="00554AEE"/>
    <w:rsid w:val="0055574B"/>
    <w:rsid w:val="005557D2"/>
    <w:rsid w:val="005563BE"/>
    <w:rsid w:val="00560CFE"/>
    <w:rsid w:val="00561C77"/>
    <w:rsid w:val="00563E10"/>
    <w:rsid w:val="00565F7A"/>
    <w:rsid w:val="00566B3B"/>
    <w:rsid w:val="00566D86"/>
    <w:rsid w:val="00567604"/>
    <w:rsid w:val="00567890"/>
    <w:rsid w:val="00570061"/>
    <w:rsid w:val="00571423"/>
    <w:rsid w:val="00571BFB"/>
    <w:rsid w:val="0057492E"/>
    <w:rsid w:val="005755E4"/>
    <w:rsid w:val="005757DF"/>
    <w:rsid w:val="005758CE"/>
    <w:rsid w:val="00575C9C"/>
    <w:rsid w:val="0058037F"/>
    <w:rsid w:val="00580B41"/>
    <w:rsid w:val="00582932"/>
    <w:rsid w:val="0058559B"/>
    <w:rsid w:val="005903C8"/>
    <w:rsid w:val="0059118B"/>
    <w:rsid w:val="005921B4"/>
    <w:rsid w:val="00592454"/>
    <w:rsid w:val="00592589"/>
    <w:rsid w:val="00592A1E"/>
    <w:rsid w:val="00592BBF"/>
    <w:rsid w:val="005942DA"/>
    <w:rsid w:val="005943D1"/>
    <w:rsid w:val="00594B31"/>
    <w:rsid w:val="00594B3B"/>
    <w:rsid w:val="00595730"/>
    <w:rsid w:val="00597811"/>
    <w:rsid w:val="00597FC5"/>
    <w:rsid w:val="005A042F"/>
    <w:rsid w:val="005A334D"/>
    <w:rsid w:val="005A4FE5"/>
    <w:rsid w:val="005B11E1"/>
    <w:rsid w:val="005B16EC"/>
    <w:rsid w:val="005B4747"/>
    <w:rsid w:val="005B55AB"/>
    <w:rsid w:val="005C0A0B"/>
    <w:rsid w:val="005C0A99"/>
    <w:rsid w:val="005C1A16"/>
    <w:rsid w:val="005C27EA"/>
    <w:rsid w:val="005C3B92"/>
    <w:rsid w:val="005C4133"/>
    <w:rsid w:val="005C5013"/>
    <w:rsid w:val="005C5D5B"/>
    <w:rsid w:val="005C649F"/>
    <w:rsid w:val="005C7B11"/>
    <w:rsid w:val="005D2015"/>
    <w:rsid w:val="005D277A"/>
    <w:rsid w:val="005D636E"/>
    <w:rsid w:val="005D77BE"/>
    <w:rsid w:val="005E0ACF"/>
    <w:rsid w:val="005E46D9"/>
    <w:rsid w:val="005E7987"/>
    <w:rsid w:val="005E7CE7"/>
    <w:rsid w:val="005F0154"/>
    <w:rsid w:val="005F0303"/>
    <w:rsid w:val="005F06B0"/>
    <w:rsid w:val="005F2F4B"/>
    <w:rsid w:val="005F3100"/>
    <w:rsid w:val="00602188"/>
    <w:rsid w:val="006038B8"/>
    <w:rsid w:val="00604324"/>
    <w:rsid w:val="0061017D"/>
    <w:rsid w:val="00613A5E"/>
    <w:rsid w:val="0061400A"/>
    <w:rsid w:val="00615E04"/>
    <w:rsid w:val="0062026C"/>
    <w:rsid w:val="00620803"/>
    <w:rsid w:val="00620D14"/>
    <w:rsid w:val="00621EA7"/>
    <w:rsid w:val="00624BD7"/>
    <w:rsid w:val="00624E24"/>
    <w:rsid w:val="00625878"/>
    <w:rsid w:val="006265BA"/>
    <w:rsid w:val="00626B7A"/>
    <w:rsid w:val="006279F1"/>
    <w:rsid w:val="0063007E"/>
    <w:rsid w:val="006339DB"/>
    <w:rsid w:val="006341CB"/>
    <w:rsid w:val="006347F6"/>
    <w:rsid w:val="00637043"/>
    <w:rsid w:val="006400F1"/>
    <w:rsid w:val="0064133B"/>
    <w:rsid w:val="00643CC1"/>
    <w:rsid w:val="00645679"/>
    <w:rsid w:val="00646BC3"/>
    <w:rsid w:val="00647B77"/>
    <w:rsid w:val="00650CF8"/>
    <w:rsid w:val="006540F9"/>
    <w:rsid w:val="00654C01"/>
    <w:rsid w:val="00656733"/>
    <w:rsid w:val="00657214"/>
    <w:rsid w:val="00657296"/>
    <w:rsid w:val="00657502"/>
    <w:rsid w:val="00660941"/>
    <w:rsid w:val="00662DAB"/>
    <w:rsid w:val="006632C6"/>
    <w:rsid w:val="00663903"/>
    <w:rsid w:val="00667968"/>
    <w:rsid w:val="00670A41"/>
    <w:rsid w:val="00670E63"/>
    <w:rsid w:val="00671B48"/>
    <w:rsid w:val="006745C8"/>
    <w:rsid w:val="006769C8"/>
    <w:rsid w:val="00680244"/>
    <w:rsid w:val="006810B4"/>
    <w:rsid w:val="00681B79"/>
    <w:rsid w:val="00683015"/>
    <w:rsid w:val="0069232C"/>
    <w:rsid w:val="006928EB"/>
    <w:rsid w:val="00692FA9"/>
    <w:rsid w:val="00693179"/>
    <w:rsid w:val="006968F9"/>
    <w:rsid w:val="00696A15"/>
    <w:rsid w:val="00697885"/>
    <w:rsid w:val="006A0456"/>
    <w:rsid w:val="006A0D38"/>
    <w:rsid w:val="006A1584"/>
    <w:rsid w:val="006A1D29"/>
    <w:rsid w:val="006A26EE"/>
    <w:rsid w:val="006A30FC"/>
    <w:rsid w:val="006A554F"/>
    <w:rsid w:val="006B0447"/>
    <w:rsid w:val="006B26BE"/>
    <w:rsid w:val="006B3070"/>
    <w:rsid w:val="006B3086"/>
    <w:rsid w:val="006B4EB0"/>
    <w:rsid w:val="006B5771"/>
    <w:rsid w:val="006C098D"/>
    <w:rsid w:val="006C34AC"/>
    <w:rsid w:val="006C4ADE"/>
    <w:rsid w:val="006C4B99"/>
    <w:rsid w:val="006C4EC4"/>
    <w:rsid w:val="006C5E1A"/>
    <w:rsid w:val="006C7329"/>
    <w:rsid w:val="006C7CDE"/>
    <w:rsid w:val="006D029C"/>
    <w:rsid w:val="006D22ED"/>
    <w:rsid w:val="006D5C4E"/>
    <w:rsid w:val="006D74BB"/>
    <w:rsid w:val="006E078F"/>
    <w:rsid w:val="006E6A12"/>
    <w:rsid w:val="006F6670"/>
    <w:rsid w:val="006F72D8"/>
    <w:rsid w:val="006F7330"/>
    <w:rsid w:val="00700725"/>
    <w:rsid w:val="00700EA4"/>
    <w:rsid w:val="00703365"/>
    <w:rsid w:val="0070470C"/>
    <w:rsid w:val="00707979"/>
    <w:rsid w:val="00707D57"/>
    <w:rsid w:val="0071208C"/>
    <w:rsid w:val="0071251E"/>
    <w:rsid w:val="00713C3F"/>
    <w:rsid w:val="007165EB"/>
    <w:rsid w:val="0071676E"/>
    <w:rsid w:val="00720848"/>
    <w:rsid w:val="007216FF"/>
    <w:rsid w:val="00724FEE"/>
    <w:rsid w:val="00725912"/>
    <w:rsid w:val="00734C14"/>
    <w:rsid w:val="0074154D"/>
    <w:rsid w:val="00741DA9"/>
    <w:rsid w:val="0074475B"/>
    <w:rsid w:val="007464F2"/>
    <w:rsid w:val="00746646"/>
    <w:rsid w:val="007544EA"/>
    <w:rsid w:val="0075622F"/>
    <w:rsid w:val="00756F0C"/>
    <w:rsid w:val="007606DD"/>
    <w:rsid w:val="00761DAB"/>
    <w:rsid w:val="0076386E"/>
    <w:rsid w:val="0076488B"/>
    <w:rsid w:val="00764C05"/>
    <w:rsid w:val="007653B2"/>
    <w:rsid w:val="00770E50"/>
    <w:rsid w:val="007712B3"/>
    <w:rsid w:val="00772522"/>
    <w:rsid w:val="0077296A"/>
    <w:rsid w:val="00772F2E"/>
    <w:rsid w:val="00773760"/>
    <w:rsid w:val="0077391E"/>
    <w:rsid w:val="00773DE9"/>
    <w:rsid w:val="00774411"/>
    <w:rsid w:val="0077601A"/>
    <w:rsid w:val="00777BE7"/>
    <w:rsid w:val="0078030E"/>
    <w:rsid w:val="00780748"/>
    <w:rsid w:val="007816DC"/>
    <w:rsid w:val="00781DEB"/>
    <w:rsid w:val="00782A4E"/>
    <w:rsid w:val="00787C7A"/>
    <w:rsid w:val="00787F1D"/>
    <w:rsid w:val="0079224E"/>
    <w:rsid w:val="00792318"/>
    <w:rsid w:val="00792F13"/>
    <w:rsid w:val="00795A22"/>
    <w:rsid w:val="0079673E"/>
    <w:rsid w:val="00797D00"/>
    <w:rsid w:val="007A0B2B"/>
    <w:rsid w:val="007A2941"/>
    <w:rsid w:val="007A391D"/>
    <w:rsid w:val="007A3DED"/>
    <w:rsid w:val="007A4990"/>
    <w:rsid w:val="007A56A6"/>
    <w:rsid w:val="007A670C"/>
    <w:rsid w:val="007A6CB7"/>
    <w:rsid w:val="007B0E3A"/>
    <w:rsid w:val="007B159A"/>
    <w:rsid w:val="007B18F1"/>
    <w:rsid w:val="007B1DA4"/>
    <w:rsid w:val="007B5ED8"/>
    <w:rsid w:val="007B65E9"/>
    <w:rsid w:val="007C1598"/>
    <w:rsid w:val="007C3650"/>
    <w:rsid w:val="007C41A3"/>
    <w:rsid w:val="007C557D"/>
    <w:rsid w:val="007C6DD6"/>
    <w:rsid w:val="007D169C"/>
    <w:rsid w:val="007D3B26"/>
    <w:rsid w:val="007D55C7"/>
    <w:rsid w:val="007D5F5A"/>
    <w:rsid w:val="007E12BC"/>
    <w:rsid w:val="007E2395"/>
    <w:rsid w:val="007E2AF9"/>
    <w:rsid w:val="007E5FBB"/>
    <w:rsid w:val="007E741B"/>
    <w:rsid w:val="007E75B9"/>
    <w:rsid w:val="007F0C55"/>
    <w:rsid w:val="007F3B99"/>
    <w:rsid w:val="007F488B"/>
    <w:rsid w:val="007F553D"/>
    <w:rsid w:val="007F6CB6"/>
    <w:rsid w:val="007F7904"/>
    <w:rsid w:val="007F7C09"/>
    <w:rsid w:val="0080061D"/>
    <w:rsid w:val="00800A7B"/>
    <w:rsid w:val="00803ABE"/>
    <w:rsid w:val="00804BD8"/>
    <w:rsid w:val="0080601A"/>
    <w:rsid w:val="008109EA"/>
    <w:rsid w:val="00811B4C"/>
    <w:rsid w:val="00812C06"/>
    <w:rsid w:val="00813258"/>
    <w:rsid w:val="008140B6"/>
    <w:rsid w:val="00814EE9"/>
    <w:rsid w:val="00815B67"/>
    <w:rsid w:val="00820113"/>
    <w:rsid w:val="00821EB9"/>
    <w:rsid w:val="00822CB2"/>
    <w:rsid w:val="008256B2"/>
    <w:rsid w:val="00825F11"/>
    <w:rsid w:val="0082752B"/>
    <w:rsid w:val="00830232"/>
    <w:rsid w:val="0083046C"/>
    <w:rsid w:val="008315F8"/>
    <w:rsid w:val="00831714"/>
    <w:rsid w:val="00836E49"/>
    <w:rsid w:val="0083729F"/>
    <w:rsid w:val="008405FD"/>
    <w:rsid w:val="00841C89"/>
    <w:rsid w:val="008428DF"/>
    <w:rsid w:val="008440BF"/>
    <w:rsid w:val="0085010F"/>
    <w:rsid w:val="00851A9E"/>
    <w:rsid w:val="008536F0"/>
    <w:rsid w:val="008605EB"/>
    <w:rsid w:val="00861EE2"/>
    <w:rsid w:val="0086636D"/>
    <w:rsid w:val="00866815"/>
    <w:rsid w:val="00866B96"/>
    <w:rsid w:val="00866F5E"/>
    <w:rsid w:val="00866FD1"/>
    <w:rsid w:val="008671ED"/>
    <w:rsid w:val="00873D46"/>
    <w:rsid w:val="0087463B"/>
    <w:rsid w:val="00874BCB"/>
    <w:rsid w:val="00875269"/>
    <w:rsid w:val="008805D1"/>
    <w:rsid w:val="00881259"/>
    <w:rsid w:val="00883184"/>
    <w:rsid w:val="00884295"/>
    <w:rsid w:val="00887008"/>
    <w:rsid w:val="00887060"/>
    <w:rsid w:val="00887080"/>
    <w:rsid w:val="008874D3"/>
    <w:rsid w:val="00887D46"/>
    <w:rsid w:val="00887E72"/>
    <w:rsid w:val="008904FE"/>
    <w:rsid w:val="008911CA"/>
    <w:rsid w:val="008915F0"/>
    <w:rsid w:val="00891CFE"/>
    <w:rsid w:val="008953A5"/>
    <w:rsid w:val="008959A6"/>
    <w:rsid w:val="00895E5D"/>
    <w:rsid w:val="008971C8"/>
    <w:rsid w:val="00897C77"/>
    <w:rsid w:val="008A1045"/>
    <w:rsid w:val="008A1114"/>
    <w:rsid w:val="008A163E"/>
    <w:rsid w:val="008A197F"/>
    <w:rsid w:val="008A4887"/>
    <w:rsid w:val="008A6320"/>
    <w:rsid w:val="008B0E8E"/>
    <w:rsid w:val="008B23AF"/>
    <w:rsid w:val="008B2701"/>
    <w:rsid w:val="008B333C"/>
    <w:rsid w:val="008B6E4C"/>
    <w:rsid w:val="008B7A85"/>
    <w:rsid w:val="008C0980"/>
    <w:rsid w:val="008C2367"/>
    <w:rsid w:val="008C2623"/>
    <w:rsid w:val="008C39D7"/>
    <w:rsid w:val="008C3C84"/>
    <w:rsid w:val="008C7DDD"/>
    <w:rsid w:val="008D00F9"/>
    <w:rsid w:val="008D1034"/>
    <w:rsid w:val="008D3609"/>
    <w:rsid w:val="008D3BD5"/>
    <w:rsid w:val="008D43AF"/>
    <w:rsid w:val="008D4DAB"/>
    <w:rsid w:val="008D773C"/>
    <w:rsid w:val="008E154A"/>
    <w:rsid w:val="008E157B"/>
    <w:rsid w:val="008E3E32"/>
    <w:rsid w:val="008E4277"/>
    <w:rsid w:val="008E56C0"/>
    <w:rsid w:val="008E5A07"/>
    <w:rsid w:val="008E6E47"/>
    <w:rsid w:val="008F1CCF"/>
    <w:rsid w:val="008F6B2C"/>
    <w:rsid w:val="008F7160"/>
    <w:rsid w:val="008F73B9"/>
    <w:rsid w:val="00901CC3"/>
    <w:rsid w:val="00901E36"/>
    <w:rsid w:val="009026D0"/>
    <w:rsid w:val="00903CAA"/>
    <w:rsid w:val="00904DAB"/>
    <w:rsid w:val="0091147D"/>
    <w:rsid w:val="00911593"/>
    <w:rsid w:val="00914997"/>
    <w:rsid w:val="00916F67"/>
    <w:rsid w:val="009178B5"/>
    <w:rsid w:val="00920ADC"/>
    <w:rsid w:val="0092291E"/>
    <w:rsid w:val="00922A8D"/>
    <w:rsid w:val="00922FDF"/>
    <w:rsid w:val="00925A84"/>
    <w:rsid w:val="009263DA"/>
    <w:rsid w:val="00926849"/>
    <w:rsid w:val="009274EB"/>
    <w:rsid w:val="009301C1"/>
    <w:rsid w:val="009309F6"/>
    <w:rsid w:val="009320C6"/>
    <w:rsid w:val="00933B9A"/>
    <w:rsid w:val="00934A4F"/>
    <w:rsid w:val="0093603F"/>
    <w:rsid w:val="00936C98"/>
    <w:rsid w:val="00940EC2"/>
    <w:rsid w:val="00943780"/>
    <w:rsid w:val="0094403C"/>
    <w:rsid w:val="00944D0D"/>
    <w:rsid w:val="00955563"/>
    <w:rsid w:val="0095578F"/>
    <w:rsid w:val="0096001D"/>
    <w:rsid w:val="00964756"/>
    <w:rsid w:val="00965362"/>
    <w:rsid w:val="00965C6D"/>
    <w:rsid w:val="00966116"/>
    <w:rsid w:val="00966D11"/>
    <w:rsid w:val="0096752C"/>
    <w:rsid w:val="00971186"/>
    <w:rsid w:val="00972715"/>
    <w:rsid w:val="009735A7"/>
    <w:rsid w:val="00973628"/>
    <w:rsid w:val="00973F2B"/>
    <w:rsid w:val="00976029"/>
    <w:rsid w:val="00976D98"/>
    <w:rsid w:val="009775CE"/>
    <w:rsid w:val="00977DA9"/>
    <w:rsid w:val="0098000A"/>
    <w:rsid w:val="009800C0"/>
    <w:rsid w:val="009808BE"/>
    <w:rsid w:val="00980B35"/>
    <w:rsid w:val="0098151D"/>
    <w:rsid w:val="00983EC7"/>
    <w:rsid w:val="00985357"/>
    <w:rsid w:val="00985B72"/>
    <w:rsid w:val="00992037"/>
    <w:rsid w:val="0099207D"/>
    <w:rsid w:val="009928FB"/>
    <w:rsid w:val="00992B9B"/>
    <w:rsid w:val="00993A4E"/>
    <w:rsid w:val="009A1E46"/>
    <w:rsid w:val="009A3271"/>
    <w:rsid w:val="009A35F1"/>
    <w:rsid w:val="009A3656"/>
    <w:rsid w:val="009A442F"/>
    <w:rsid w:val="009A5E7B"/>
    <w:rsid w:val="009B0E99"/>
    <w:rsid w:val="009B5A58"/>
    <w:rsid w:val="009B6812"/>
    <w:rsid w:val="009C1EB0"/>
    <w:rsid w:val="009C23BB"/>
    <w:rsid w:val="009C27FA"/>
    <w:rsid w:val="009C34D2"/>
    <w:rsid w:val="009C7124"/>
    <w:rsid w:val="009C7BE4"/>
    <w:rsid w:val="009D0A1C"/>
    <w:rsid w:val="009D12DB"/>
    <w:rsid w:val="009D1C45"/>
    <w:rsid w:val="009D3F6D"/>
    <w:rsid w:val="009D5064"/>
    <w:rsid w:val="009D5E63"/>
    <w:rsid w:val="009D74D8"/>
    <w:rsid w:val="009E13F1"/>
    <w:rsid w:val="009E3EBD"/>
    <w:rsid w:val="009E5872"/>
    <w:rsid w:val="009E59D0"/>
    <w:rsid w:val="009E67AF"/>
    <w:rsid w:val="009F2679"/>
    <w:rsid w:val="009F3E5B"/>
    <w:rsid w:val="009F48C7"/>
    <w:rsid w:val="009F5DA8"/>
    <w:rsid w:val="009F7A88"/>
    <w:rsid w:val="00A00272"/>
    <w:rsid w:val="00A013F5"/>
    <w:rsid w:val="00A01C32"/>
    <w:rsid w:val="00A037FA"/>
    <w:rsid w:val="00A040BE"/>
    <w:rsid w:val="00A040C6"/>
    <w:rsid w:val="00A0454A"/>
    <w:rsid w:val="00A05F2B"/>
    <w:rsid w:val="00A0644E"/>
    <w:rsid w:val="00A0692D"/>
    <w:rsid w:val="00A124E6"/>
    <w:rsid w:val="00A13F22"/>
    <w:rsid w:val="00A144E0"/>
    <w:rsid w:val="00A17FB5"/>
    <w:rsid w:val="00A202C3"/>
    <w:rsid w:val="00A22566"/>
    <w:rsid w:val="00A23553"/>
    <w:rsid w:val="00A24639"/>
    <w:rsid w:val="00A277E3"/>
    <w:rsid w:val="00A31F78"/>
    <w:rsid w:val="00A336B7"/>
    <w:rsid w:val="00A35F0A"/>
    <w:rsid w:val="00A368B1"/>
    <w:rsid w:val="00A373AA"/>
    <w:rsid w:val="00A406C2"/>
    <w:rsid w:val="00A40E50"/>
    <w:rsid w:val="00A4114C"/>
    <w:rsid w:val="00A459F1"/>
    <w:rsid w:val="00A468CC"/>
    <w:rsid w:val="00A4764B"/>
    <w:rsid w:val="00A47A4A"/>
    <w:rsid w:val="00A50118"/>
    <w:rsid w:val="00A54851"/>
    <w:rsid w:val="00A600F4"/>
    <w:rsid w:val="00A611E5"/>
    <w:rsid w:val="00A64154"/>
    <w:rsid w:val="00A65676"/>
    <w:rsid w:val="00A70EC5"/>
    <w:rsid w:val="00A7206A"/>
    <w:rsid w:val="00A72F5C"/>
    <w:rsid w:val="00A74320"/>
    <w:rsid w:val="00A75662"/>
    <w:rsid w:val="00A75C2B"/>
    <w:rsid w:val="00A76532"/>
    <w:rsid w:val="00A81A8A"/>
    <w:rsid w:val="00A820DC"/>
    <w:rsid w:val="00A82303"/>
    <w:rsid w:val="00A82BC1"/>
    <w:rsid w:val="00A85F33"/>
    <w:rsid w:val="00A8633F"/>
    <w:rsid w:val="00A86712"/>
    <w:rsid w:val="00A9002D"/>
    <w:rsid w:val="00A901DB"/>
    <w:rsid w:val="00A909DD"/>
    <w:rsid w:val="00A9184B"/>
    <w:rsid w:val="00A92679"/>
    <w:rsid w:val="00A9445B"/>
    <w:rsid w:val="00A9787F"/>
    <w:rsid w:val="00AA1481"/>
    <w:rsid w:val="00AA2629"/>
    <w:rsid w:val="00AA3327"/>
    <w:rsid w:val="00AA425F"/>
    <w:rsid w:val="00AA45B6"/>
    <w:rsid w:val="00AA7126"/>
    <w:rsid w:val="00AA7477"/>
    <w:rsid w:val="00AA79AA"/>
    <w:rsid w:val="00AB0459"/>
    <w:rsid w:val="00AB5EC4"/>
    <w:rsid w:val="00AB61B6"/>
    <w:rsid w:val="00AC31D7"/>
    <w:rsid w:val="00AC5193"/>
    <w:rsid w:val="00AD1854"/>
    <w:rsid w:val="00AD2B09"/>
    <w:rsid w:val="00AD377D"/>
    <w:rsid w:val="00AD659A"/>
    <w:rsid w:val="00AD76C3"/>
    <w:rsid w:val="00AE0108"/>
    <w:rsid w:val="00AE3109"/>
    <w:rsid w:val="00AE61FB"/>
    <w:rsid w:val="00AF1710"/>
    <w:rsid w:val="00AF4411"/>
    <w:rsid w:val="00AF4F7F"/>
    <w:rsid w:val="00AF5346"/>
    <w:rsid w:val="00AF55AF"/>
    <w:rsid w:val="00B00186"/>
    <w:rsid w:val="00B0071A"/>
    <w:rsid w:val="00B00F47"/>
    <w:rsid w:val="00B0108B"/>
    <w:rsid w:val="00B03AF1"/>
    <w:rsid w:val="00B03BAB"/>
    <w:rsid w:val="00B04BB8"/>
    <w:rsid w:val="00B05832"/>
    <w:rsid w:val="00B10C93"/>
    <w:rsid w:val="00B15FCA"/>
    <w:rsid w:val="00B214DC"/>
    <w:rsid w:val="00B2239B"/>
    <w:rsid w:val="00B232CE"/>
    <w:rsid w:val="00B258D0"/>
    <w:rsid w:val="00B314C8"/>
    <w:rsid w:val="00B32743"/>
    <w:rsid w:val="00B339F5"/>
    <w:rsid w:val="00B34641"/>
    <w:rsid w:val="00B42F9A"/>
    <w:rsid w:val="00B43152"/>
    <w:rsid w:val="00B431A4"/>
    <w:rsid w:val="00B4322D"/>
    <w:rsid w:val="00B43FF6"/>
    <w:rsid w:val="00B46626"/>
    <w:rsid w:val="00B46A4B"/>
    <w:rsid w:val="00B534EE"/>
    <w:rsid w:val="00B53C09"/>
    <w:rsid w:val="00B5599E"/>
    <w:rsid w:val="00B56C1D"/>
    <w:rsid w:val="00B5710A"/>
    <w:rsid w:val="00B60B6A"/>
    <w:rsid w:val="00B61499"/>
    <w:rsid w:val="00B6227A"/>
    <w:rsid w:val="00B635BE"/>
    <w:rsid w:val="00B71171"/>
    <w:rsid w:val="00B72555"/>
    <w:rsid w:val="00B726D9"/>
    <w:rsid w:val="00B74A99"/>
    <w:rsid w:val="00B75953"/>
    <w:rsid w:val="00B76568"/>
    <w:rsid w:val="00B76B00"/>
    <w:rsid w:val="00B76F25"/>
    <w:rsid w:val="00B80182"/>
    <w:rsid w:val="00B80EA1"/>
    <w:rsid w:val="00B83AF9"/>
    <w:rsid w:val="00B85842"/>
    <w:rsid w:val="00B875D2"/>
    <w:rsid w:val="00B90A7E"/>
    <w:rsid w:val="00B924F8"/>
    <w:rsid w:val="00B927FC"/>
    <w:rsid w:val="00B92BD0"/>
    <w:rsid w:val="00B9462A"/>
    <w:rsid w:val="00B97989"/>
    <w:rsid w:val="00BA02D5"/>
    <w:rsid w:val="00BA0A75"/>
    <w:rsid w:val="00BA196F"/>
    <w:rsid w:val="00BA2CE5"/>
    <w:rsid w:val="00BA45D3"/>
    <w:rsid w:val="00BA60E8"/>
    <w:rsid w:val="00BB180E"/>
    <w:rsid w:val="00BB1E61"/>
    <w:rsid w:val="00BB4E89"/>
    <w:rsid w:val="00BC06D7"/>
    <w:rsid w:val="00BC194A"/>
    <w:rsid w:val="00BC39EA"/>
    <w:rsid w:val="00BC65EE"/>
    <w:rsid w:val="00BC7FDB"/>
    <w:rsid w:val="00BD0C98"/>
    <w:rsid w:val="00BD29EA"/>
    <w:rsid w:val="00BD3CED"/>
    <w:rsid w:val="00BD3DE9"/>
    <w:rsid w:val="00BD495B"/>
    <w:rsid w:val="00BD499C"/>
    <w:rsid w:val="00BD4A9D"/>
    <w:rsid w:val="00BD6782"/>
    <w:rsid w:val="00BE0505"/>
    <w:rsid w:val="00BE0A42"/>
    <w:rsid w:val="00BE1375"/>
    <w:rsid w:val="00BE23D5"/>
    <w:rsid w:val="00BE3835"/>
    <w:rsid w:val="00BE4D95"/>
    <w:rsid w:val="00BF2A89"/>
    <w:rsid w:val="00BF35C5"/>
    <w:rsid w:val="00BF3DE8"/>
    <w:rsid w:val="00BF5A07"/>
    <w:rsid w:val="00BF5D49"/>
    <w:rsid w:val="00BF6A6B"/>
    <w:rsid w:val="00BF7806"/>
    <w:rsid w:val="00C00383"/>
    <w:rsid w:val="00C0416E"/>
    <w:rsid w:val="00C04DF3"/>
    <w:rsid w:val="00C06F45"/>
    <w:rsid w:val="00C1030F"/>
    <w:rsid w:val="00C12477"/>
    <w:rsid w:val="00C15ED6"/>
    <w:rsid w:val="00C164AF"/>
    <w:rsid w:val="00C16F34"/>
    <w:rsid w:val="00C17A7E"/>
    <w:rsid w:val="00C20920"/>
    <w:rsid w:val="00C2619E"/>
    <w:rsid w:val="00C300B4"/>
    <w:rsid w:val="00C310C4"/>
    <w:rsid w:val="00C32D68"/>
    <w:rsid w:val="00C340D3"/>
    <w:rsid w:val="00C34D09"/>
    <w:rsid w:val="00C36756"/>
    <w:rsid w:val="00C372B8"/>
    <w:rsid w:val="00C414E1"/>
    <w:rsid w:val="00C4157E"/>
    <w:rsid w:val="00C4172C"/>
    <w:rsid w:val="00C445A3"/>
    <w:rsid w:val="00C45AFD"/>
    <w:rsid w:val="00C466D7"/>
    <w:rsid w:val="00C50822"/>
    <w:rsid w:val="00C50DE7"/>
    <w:rsid w:val="00C51977"/>
    <w:rsid w:val="00C51A71"/>
    <w:rsid w:val="00C534D7"/>
    <w:rsid w:val="00C537F5"/>
    <w:rsid w:val="00C53D63"/>
    <w:rsid w:val="00C54082"/>
    <w:rsid w:val="00C547B0"/>
    <w:rsid w:val="00C549DA"/>
    <w:rsid w:val="00C54BD3"/>
    <w:rsid w:val="00C56002"/>
    <w:rsid w:val="00C56FC5"/>
    <w:rsid w:val="00C57BBA"/>
    <w:rsid w:val="00C60369"/>
    <w:rsid w:val="00C60D31"/>
    <w:rsid w:val="00C622BB"/>
    <w:rsid w:val="00C67B06"/>
    <w:rsid w:val="00C70708"/>
    <w:rsid w:val="00C72847"/>
    <w:rsid w:val="00C72D6C"/>
    <w:rsid w:val="00C743C3"/>
    <w:rsid w:val="00C75D1D"/>
    <w:rsid w:val="00C760C7"/>
    <w:rsid w:val="00C7748F"/>
    <w:rsid w:val="00C77F3B"/>
    <w:rsid w:val="00C80E2E"/>
    <w:rsid w:val="00C81074"/>
    <w:rsid w:val="00C8193E"/>
    <w:rsid w:val="00C81ED4"/>
    <w:rsid w:val="00C82E7E"/>
    <w:rsid w:val="00C84605"/>
    <w:rsid w:val="00C86DDF"/>
    <w:rsid w:val="00C872BA"/>
    <w:rsid w:val="00C87C2B"/>
    <w:rsid w:val="00C9038C"/>
    <w:rsid w:val="00C9133F"/>
    <w:rsid w:val="00C91E64"/>
    <w:rsid w:val="00C92141"/>
    <w:rsid w:val="00C92318"/>
    <w:rsid w:val="00C93D25"/>
    <w:rsid w:val="00CA3244"/>
    <w:rsid w:val="00CA44BF"/>
    <w:rsid w:val="00CA491F"/>
    <w:rsid w:val="00CA55E7"/>
    <w:rsid w:val="00CA7343"/>
    <w:rsid w:val="00CA79D4"/>
    <w:rsid w:val="00CB13E6"/>
    <w:rsid w:val="00CB6A2E"/>
    <w:rsid w:val="00CB70BF"/>
    <w:rsid w:val="00CC0B7F"/>
    <w:rsid w:val="00CC1FC7"/>
    <w:rsid w:val="00CC23C9"/>
    <w:rsid w:val="00CC2E5B"/>
    <w:rsid w:val="00CC5AE7"/>
    <w:rsid w:val="00CC5EF5"/>
    <w:rsid w:val="00CD1555"/>
    <w:rsid w:val="00CD34DE"/>
    <w:rsid w:val="00CD38B5"/>
    <w:rsid w:val="00CD4F6A"/>
    <w:rsid w:val="00CD5D36"/>
    <w:rsid w:val="00CD77F3"/>
    <w:rsid w:val="00CE1763"/>
    <w:rsid w:val="00CE3018"/>
    <w:rsid w:val="00CE5574"/>
    <w:rsid w:val="00CE5BE1"/>
    <w:rsid w:val="00CE6000"/>
    <w:rsid w:val="00CE6919"/>
    <w:rsid w:val="00CE7E6E"/>
    <w:rsid w:val="00CF0810"/>
    <w:rsid w:val="00CF0DB8"/>
    <w:rsid w:val="00CF1E90"/>
    <w:rsid w:val="00CF328E"/>
    <w:rsid w:val="00CF33B7"/>
    <w:rsid w:val="00CF6A94"/>
    <w:rsid w:val="00CF79EA"/>
    <w:rsid w:val="00CF7C4A"/>
    <w:rsid w:val="00CF7F5C"/>
    <w:rsid w:val="00D011C8"/>
    <w:rsid w:val="00D01517"/>
    <w:rsid w:val="00D0180A"/>
    <w:rsid w:val="00D05605"/>
    <w:rsid w:val="00D06E90"/>
    <w:rsid w:val="00D07C74"/>
    <w:rsid w:val="00D107DC"/>
    <w:rsid w:val="00D12229"/>
    <w:rsid w:val="00D13ECC"/>
    <w:rsid w:val="00D17D41"/>
    <w:rsid w:val="00D17EEC"/>
    <w:rsid w:val="00D20B05"/>
    <w:rsid w:val="00D2237C"/>
    <w:rsid w:val="00D233F3"/>
    <w:rsid w:val="00D240E8"/>
    <w:rsid w:val="00D26514"/>
    <w:rsid w:val="00D26A53"/>
    <w:rsid w:val="00D26EBB"/>
    <w:rsid w:val="00D26FCB"/>
    <w:rsid w:val="00D2724D"/>
    <w:rsid w:val="00D3010D"/>
    <w:rsid w:val="00D3068F"/>
    <w:rsid w:val="00D3087D"/>
    <w:rsid w:val="00D30F31"/>
    <w:rsid w:val="00D35D2E"/>
    <w:rsid w:val="00D36785"/>
    <w:rsid w:val="00D41F04"/>
    <w:rsid w:val="00D42866"/>
    <w:rsid w:val="00D51B3B"/>
    <w:rsid w:val="00D52121"/>
    <w:rsid w:val="00D53B7F"/>
    <w:rsid w:val="00D54779"/>
    <w:rsid w:val="00D54B1E"/>
    <w:rsid w:val="00D5577C"/>
    <w:rsid w:val="00D565F1"/>
    <w:rsid w:val="00D5787C"/>
    <w:rsid w:val="00D603F1"/>
    <w:rsid w:val="00D61340"/>
    <w:rsid w:val="00D65ED9"/>
    <w:rsid w:val="00D66DD7"/>
    <w:rsid w:val="00D66F5D"/>
    <w:rsid w:val="00D71B71"/>
    <w:rsid w:val="00D71C9A"/>
    <w:rsid w:val="00D71F2A"/>
    <w:rsid w:val="00D72197"/>
    <w:rsid w:val="00D73F71"/>
    <w:rsid w:val="00D742C1"/>
    <w:rsid w:val="00D767C1"/>
    <w:rsid w:val="00D77CC9"/>
    <w:rsid w:val="00D80D80"/>
    <w:rsid w:val="00D847B4"/>
    <w:rsid w:val="00D8631B"/>
    <w:rsid w:val="00D91C6A"/>
    <w:rsid w:val="00D925BD"/>
    <w:rsid w:val="00D92689"/>
    <w:rsid w:val="00D9275F"/>
    <w:rsid w:val="00D95485"/>
    <w:rsid w:val="00DA1FFA"/>
    <w:rsid w:val="00DA2E12"/>
    <w:rsid w:val="00DA4FC4"/>
    <w:rsid w:val="00DA54FA"/>
    <w:rsid w:val="00DA60BD"/>
    <w:rsid w:val="00DA62A0"/>
    <w:rsid w:val="00DB23E9"/>
    <w:rsid w:val="00DB338C"/>
    <w:rsid w:val="00DB3EFB"/>
    <w:rsid w:val="00DB6368"/>
    <w:rsid w:val="00DB7954"/>
    <w:rsid w:val="00DB7D10"/>
    <w:rsid w:val="00DC02D8"/>
    <w:rsid w:val="00DC2B11"/>
    <w:rsid w:val="00DC3867"/>
    <w:rsid w:val="00DD0B33"/>
    <w:rsid w:val="00DD397A"/>
    <w:rsid w:val="00DD5FC1"/>
    <w:rsid w:val="00DD6E5A"/>
    <w:rsid w:val="00DD78C3"/>
    <w:rsid w:val="00DE056D"/>
    <w:rsid w:val="00DE08B2"/>
    <w:rsid w:val="00DE2D2B"/>
    <w:rsid w:val="00DE32DA"/>
    <w:rsid w:val="00DE4453"/>
    <w:rsid w:val="00DE502A"/>
    <w:rsid w:val="00DF0160"/>
    <w:rsid w:val="00DF0497"/>
    <w:rsid w:val="00DF0D50"/>
    <w:rsid w:val="00DF1310"/>
    <w:rsid w:val="00DF15B0"/>
    <w:rsid w:val="00DF1A40"/>
    <w:rsid w:val="00DF34DD"/>
    <w:rsid w:val="00DF4E76"/>
    <w:rsid w:val="00E00CB6"/>
    <w:rsid w:val="00E011F0"/>
    <w:rsid w:val="00E016CE"/>
    <w:rsid w:val="00E03E1C"/>
    <w:rsid w:val="00E04762"/>
    <w:rsid w:val="00E05125"/>
    <w:rsid w:val="00E05550"/>
    <w:rsid w:val="00E06650"/>
    <w:rsid w:val="00E06B17"/>
    <w:rsid w:val="00E133B1"/>
    <w:rsid w:val="00E13634"/>
    <w:rsid w:val="00E139C9"/>
    <w:rsid w:val="00E13F46"/>
    <w:rsid w:val="00E21402"/>
    <w:rsid w:val="00E22428"/>
    <w:rsid w:val="00E230E6"/>
    <w:rsid w:val="00E23380"/>
    <w:rsid w:val="00E23E79"/>
    <w:rsid w:val="00E2404B"/>
    <w:rsid w:val="00E25487"/>
    <w:rsid w:val="00E26E25"/>
    <w:rsid w:val="00E30045"/>
    <w:rsid w:val="00E332B4"/>
    <w:rsid w:val="00E335F8"/>
    <w:rsid w:val="00E33A04"/>
    <w:rsid w:val="00E340B4"/>
    <w:rsid w:val="00E35987"/>
    <w:rsid w:val="00E35F63"/>
    <w:rsid w:val="00E373D4"/>
    <w:rsid w:val="00E40CF5"/>
    <w:rsid w:val="00E45BA1"/>
    <w:rsid w:val="00E4710F"/>
    <w:rsid w:val="00E47179"/>
    <w:rsid w:val="00E47771"/>
    <w:rsid w:val="00E47773"/>
    <w:rsid w:val="00E50214"/>
    <w:rsid w:val="00E51268"/>
    <w:rsid w:val="00E526D3"/>
    <w:rsid w:val="00E527A1"/>
    <w:rsid w:val="00E52A80"/>
    <w:rsid w:val="00E54158"/>
    <w:rsid w:val="00E5505E"/>
    <w:rsid w:val="00E551DB"/>
    <w:rsid w:val="00E55630"/>
    <w:rsid w:val="00E5604F"/>
    <w:rsid w:val="00E569BE"/>
    <w:rsid w:val="00E57316"/>
    <w:rsid w:val="00E5764F"/>
    <w:rsid w:val="00E5796C"/>
    <w:rsid w:val="00E61325"/>
    <w:rsid w:val="00E6222E"/>
    <w:rsid w:val="00E6314C"/>
    <w:rsid w:val="00E66985"/>
    <w:rsid w:val="00E6702C"/>
    <w:rsid w:val="00E67A42"/>
    <w:rsid w:val="00E70907"/>
    <w:rsid w:val="00E70949"/>
    <w:rsid w:val="00E70D61"/>
    <w:rsid w:val="00E71933"/>
    <w:rsid w:val="00E72FBC"/>
    <w:rsid w:val="00E73CBD"/>
    <w:rsid w:val="00E74D2D"/>
    <w:rsid w:val="00E7537B"/>
    <w:rsid w:val="00E76B0E"/>
    <w:rsid w:val="00E76E8A"/>
    <w:rsid w:val="00E772BE"/>
    <w:rsid w:val="00E77BBC"/>
    <w:rsid w:val="00E77D57"/>
    <w:rsid w:val="00E8317F"/>
    <w:rsid w:val="00E83566"/>
    <w:rsid w:val="00E868E8"/>
    <w:rsid w:val="00E87F8B"/>
    <w:rsid w:val="00E90679"/>
    <w:rsid w:val="00E91642"/>
    <w:rsid w:val="00E92B9E"/>
    <w:rsid w:val="00E94734"/>
    <w:rsid w:val="00E960B4"/>
    <w:rsid w:val="00E96325"/>
    <w:rsid w:val="00EA0D60"/>
    <w:rsid w:val="00EA11A6"/>
    <w:rsid w:val="00EA1E8E"/>
    <w:rsid w:val="00EA35E3"/>
    <w:rsid w:val="00EA40DB"/>
    <w:rsid w:val="00EB0374"/>
    <w:rsid w:val="00EB34B4"/>
    <w:rsid w:val="00EB5EAF"/>
    <w:rsid w:val="00EB65B0"/>
    <w:rsid w:val="00EB7156"/>
    <w:rsid w:val="00EC006C"/>
    <w:rsid w:val="00EC23FB"/>
    <w:rsid w:val="00EC5D2A"/>
    <w:rsid w:val="00EC7831"/>
    <w:rsid w:val="00ED071C"/>
    <w:rsid w:val="00ED1758"/>
    <w:rsid w:val="00ED1A27"/>
    <w:rsid w:val="00ED2D25"/>
    <w:rsid w:val="00ED6BE5"/>
    <w:rsid w:val="00ED7A32"/>
    <w:rsid w:val="00EE3817"/>
    <w:rsid w:val="00EE50D2"/>
    <w:rsid w:val="00EF0AC5"/>
    <w:rsid w:val="00EF3D67"/>
    <w:rsid w:val="00EF4EA1"/>
    <w:rsid w:val="00EF79E5"/>
    <w:rsid w:val="00EF7BA8"/>
    <w:rsid w:val="00F00932"/>
    <w:rsid w:val="00F00EF1"/>
    <w:rsid w:val="00F016D1"/>
    <w:rsid w:val="00F05114"/>
    <w:rsid w:val="00F05542"/>
    <w:rsid w:val="00F05842"/>
    <w:rsid w:val="00F059E4"/>
    <w:rsid w:val="00F05C3E"/>
    <w:rsid w:val="00F10716"/>
    <w:rsid w:val="00F10F91"/>
    <w:rsid w:val="00F121EC"/>
    <w:rsid w:val="00F211D3"/>
    <w:rsid w:val="00F2166E"/>
    <w:rsid w:val="00F216C8"/>
    <w:rsid w:val="00F21C1F"/>
    <w:rsid w:val="00F221B7"/>
    <w:rsid w:val="00F22EDF"/>
    <w:rsid w:val="00F23D8E"/>
    <w:rsid w:val="00F25080"/>
    <w:rsid w:val="00F2759D"/>
    <w:rsid w:val="00F310E5"/>
    <w:rsid w:val="00F33EBD"/>
    <w:rsid w:val="00F35E02"/>
    <w:rsid w:val="00F41043"/>
    <w:rsid w:val="00F42239"/>
    <w:rsid w:val="00F4225A"/>
    <w:rsid w:val="00F4580C"/>
    <w:rsid w:val="00F45853"/>
    <w:rsid w:val="00F47753"/>
    <w:rsid w:val="00F47A89"/>
    <w:rsid w:val="00F50458"/>
    <w:rsid w:val="00F50688"/>
    <w:rsid w:val="00F54AC1"/>
    <w:rsid w:val="00F55819"/>
    <w:rsid w:val="00F55D53"/>
    <w:rsid w:val="00F5611F"/>
    <w:rsid w:val="00F567AF"/>
    <w:rsid w:val="00F57876"/>
    <w:rsid w:val="00F57DF7"/>
    <w:rsid w:val="00F60882"/>
    <w:rsid w:val="00F61225"/>
    <w:rsid w:val="00F6278F"/>
    <w:rsid w:val="00F6283D"/>
    <w:rsid w:val="00F62B2E"/>
    <w:rsid w:val="00F63455"/>
    <w:rsid w:val="00F67A4A"/>
    <w:rsid w:val="00F7028E"/>
    <w:rsid w:val="00F711A2"/>
    <w:rsid w:val="00F71775"/>
    <w:rsid w:val="00F76089"/>
    <w:rsid w:val="00F76883"/>
    <w:rsid w:val="00F776AF"/>
    <w:rsid w:val="00F8281E"/>
    <w:rsid w:val="00F82C9D"/>
    <w:rsid w:val="00F83260"/>
    <w:rsid w:val="00F85F38"/>
    <w:rsid w:val="00F86111"/>
    <w:rsid w:val="00F86C74"/>
    <w:rsid w:val="00F87121"/>
    <w:rsid w:val="00F900B0"/>
    <w:rsid w:val="00F9329A"/>
    <w:rsid w:val="00F9338D"/>
    <w:rsid w:val="00F933A7"/>
    <w:rsid w:val="00F93F03"/>
    <w:rsid w:val="00F94199"/>
    <w:rsid w:val="00F9447E"/>
    <w:rsid w:val="00F944D6"/>
    <w:rsid w:val="00FA0327"/>
    <w:rsid w:val="00FA0DA8"/>
    <w:rsid w:val="00FA2024"/>
    <w:rsid w:val="00FA5045"/>
    <w:rsid w:val="00FA58D6"/>
    <w:rsid w:val="00FA6953"/>
    <w:rsid w:val="00FA76B4"/>
    <w:rsid w:val="00FA7BE7"/>
    <w:rsid w:val="00FA7DCA"/>
    <w:rsid w:val="00FB0CAA"/>
    <w:rsid w:val="00FB11FE"/>
    <w:rsid w:val="00FB1F17"/>
    <w:rsid w:val="00FB277E"/>
    <w:rsid w:val="00FB47A4"/>
    <w:rsid w:val="00FB496F"/>
    <w:rsid w:val="00FB4F1C"/>
    <w:rsid w:val="00FB6259"/>
    <w:rsid w:val="00FC3D09"/>
    <w:rsid w:val="00FC3F8A"/>
    <w:rsid w:val="00FC59C6"/>
    <w:rsid w:val="00FC610C"/>
    <w:rsid w:val="00FD22A4"/>
    <w:rsid w:val="00FD2EFF"/>
    <w:rsid w:val="00FD41F6"/>
    <w:rsid w:val="00FE0551"/>
    <w:rsid w:val="00FE1347"/>
    <w:rsid w:val="00FE5949"/>
    <w:rsid w:val="00FE5C61"/>
    <w:rsid w:val="00FF1867"/>
    <w:rsid w:val="00FF19F8"/>
    <w:rsid w:val="00FF25B3"/>
    <w:rsid w:val="00FF26E8"/>
    <w:rsid w:val="00FF4001"/>
    <w:rsid w:val="00FF70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B448DC"/>
  <w15:docId w15:val="{7B9A04EB-83E7-433D-9942-4C0B8661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708"/>
    <w:pPr>
      <w:spacing w:before="120" w:after="120"/>
      <w:ind w:left="567"/>
    </w:pPr>
    <w:rPr>
      <w:sz w:val="18"/>
    </w:rPr>
  </w:style>
  <w:style w:type="paragraph" w:styleId="Nadpis1">
    <w:name w:val="heading 1"/>
    <w:basedOn w:val="Normln"/>
    <w:next w:val="Normln"/>
    <w:link w:val="Nadpis1Char"/>
    <w:uiPriority w:val="9"/>
    <w:qFormat/>
    <w:rsid w:val="001549EC"/>
    <w:pPr>
      <w:keepNext/>
      <w:keepLines/>
      <w:numPr>
        <w:numId w:val="9"/>
      </w:numPr>
      <w:suppressAutoHyphens/>
      <w:spacing w:before="240" w:after="0" w:line="264" w:lineRule="auto"/>
      <w:ind w:left="567" w:hanging="567"/>
      <w:jc w:val="both"/>
      <w:outlineLvl w:val="0"/>
    </w:pPr>
    <w:rPr>
      <w:rFonts w:eastAsia="Verdana" w:cs="Times New Roman"/>
      <w:b/>
      <w:bCs/>
      <w:iCs/>
      <w:noProof/>
      <w:szCs w:val="18"/>
    </w:rPr>
  </w:style>
  <w:style w:type="paragraph" w:styleId="Nadpis2">
    <w:name w:val="heading 2"/>
    <w:basedOn w:val="Nadpis1"/>
    <w:next w:val="Normln"/>
    <w:link w:val="Nadpis2Char"/>
    <w:uiPriority w:val="9"/>
    <w:unhideWhenUsed/>
    <w:qFormat/>
    <w:rsid w:val="00646BC3"/>
    <w:pPr>
      <w:keepNext w:val="0"/>
      <w:keepLines w:val="0"/>
      <w:numPr>
        <w:ilvl w:val="1"/>
      </w:numPr>
      <w:ind w:left="1276" w:hanging="709"/>
      <w:outlineLvl w:val="1"/>
    </w:pPr>
    <w:rPr>
      <w:b w:val="0"/>
      <w:bCs w:val="0"/>
    </w:rPr>
  </w:style>
  <w:style w:type="paragraph" w:styleId="Nadpis3">
    <w:name w:val="heading 3"/>
    <w:basedOn w:val="Nadpis2"/>
    <w:next w:val="Normln"/>
    <w:link w:val="Nadpis3Char"/>
    <w:uiPriority w:val="9"/>
    <w:unhideWhenUsed/>
    <w:qFormat/>
    <w:rsid w:val="008A163E"/>
    <w:pPr>
      <w:numPr>
        <w:ilvl w:val="2"/>
      </w:numPr>
      <w:ind w:left="1843" w:hanging="709"/>
      <w:outlineLvl w:val="2"/>
    </w:pPr>
  </w:style>
  <w:style w:type="paragraph" w:styleId="Nadpis4">
    <w:name w:val="heading 4"/>
    <w:basedOn w:val="Normlnlnek"/>
    <w:next w:val="Normln"/>
    <w:link w:val="Nadpis4Char"/>
    <w:uiPriority w:val="9"/>
    <w:unhideWhenUsed/>
    <w:qFormat/>
    <w:rsid w:val="00E47179"/>
    <w:pPr>
      <w:numPr>
        <w:ilvl w:val="3"/>
        <w:numId w:val="6"/>
      </w:numPr>
      <w:ind w:left="1985" w:hanging="851"/>
      <w:outlineLvl w:val="3"/>
    </w:pPr>
    <w:rPr>
      <w:b w:val="0"/>
      <w:u w:val="single"/>
      <w:lang w:eastAsia="cs-CZ"/>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549EC"/>
    <w:rPr>
      <w:rFonts w:eastAsia="Verdana" w:cs="Times New Roman"/>
      <w:b/>
      <w:bCs/>
      <w:iCs/>
      <w:noProof/>
      <w:sz w:val="18"/>
      <w:szCs w:val="1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rsid w:val="00646BC3"/>
    <w:rPr>
      <w:rFonts w:eastAsia="Verdana" w:cs="Times New Roman"/>
      <w:iCs/>
      <w:noProof/>
      <w:sz w:val="18"/>
      <w:szCs w:val="18"/>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Nad"/>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8A163E"/>
    <w:rPr>
      <w:rFonts w:eastAsia="Verdana" w:cs="Times New Roman"/>
      <w:iCs/>
      <w:noProof/>
      <w:sz w:val="18"/>
      <w:szCs w:val="18"/>
    </w:rPr>
  </w:style>
  <w:style w:type="character" w:customStyle="1" w:styleId="Nadpis4Char">
    <w:name w:val="Nadpis 4 Char"/>
    <w:basedOn w:val="Standardnpsmoodstavce"/>
    <w:link w:val="Nadpis4"/>
    <w:uiPriority w:val="9"/>
    <w:rsid w:val="00E47179"/>
    <w:rPr>
      <w:rFonts w:eastAsia="Times New Roman" w:cs="Times New Roman"/>
      <w:bCs/>
      <w:noProof/>
      <w:sz w:val="18"/>
      <w:szCs w:val="18"/>
      <w:u w:val="single"/>
      <w:lang w:eastAsia="cs-CZ"/>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0"/>
      </w:numPr>
    </w:pPr>
    <w:rPr>
      <w:rFonts w:eastAsia="Times New Roman"/>
      <w:iCs w:val="0"/>
    </w:rPr>
  </w:style>
  <w:style w:type="paragraph" w:customStyle="1" w:styleId="Normlnodstavec">
    <w:name w:val="Normální odstavec"/>
    <w:basedOn w:val="Nadpis2"/>
    <w:qFormat/>
    <w:rsid w:val="00163A7D"/>
    <w:pPr>
      <w:numPr>
        <w:ilvl w:val="0"/>
        <w:numId w:val="0"/>
      </w:numPr>
      <w:tabs>
        <w:tab w:val="left" w:pos="1361"/>
      </w:tabs>
    </w:pPr>
    <w:rPr>
      <w:b/>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0"/>
        <w:numId w:val="0"/>
      </w:numPr>
    </w:pPr>
    <w:rPr>
      <w:b/>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1"/>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1"/>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2"/>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3"/>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Revize">
    <w:name w:val="Revision"/>
    <w:hidden/>
    <w:uiPriority w:val="99"/>
    <w:semiHidden/>
    <w:rsid w:val="00A600F4"/>
    <w:pPr>
      <w:spacing w:after="0" w:line="240" w:lineRule="auto"/>
    </w:pPr>
    <w:rPr>
      <w:sz w:val="18"/>
    </w:rPr>
  </w:style>
  <w:style w:type="paragraph" w:customStyle="1" w:styleId="Nadpistabulky">
    <w:name w:val="Nadpis tabulky"/>
    <w:basedOn w:val="Normln"/>
    <w:next w:val="Normln"/>
    <w:uiPriority w:val="9"/>
    <w:qFormat/>
    <w:rsid w:val="005C1A16"/>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paragraph" w:customStyle="1" w:styleId="Textbezslovn">
    <w:name w:val="_Text_bez_číslování"/>
    <w:basedOn w:val="Normln"/>
    <w:link w:val="TextbezslovnChar"/>
    <w:qFormat/>
    <w:rsid w:val="002C2967"/>
    <w:pPr>
      <w:spacing w:before="0" w:line="264" w:lineRule="auto"/>
      <w:ind w:left="737"/>
      <w:jc w:val="both"/>
    </w:pPr>
    <w:rPr>
      <w:rFonts w:asciiTheme="minorHAnsi" w:eastAsia="MS Mincho" w:hAnsiTheme="minorHAnsi"/>
      <w:szCs w:val="18"/>
    </w:rPr>
  </w:style>
  <w:style w:type="character" w:customStyle="1" w:styleId="Nevyeenzmnka1">
    <w:name w:val="Nevyřešená zmínka1"/>
    <w:basedOn w:val="Standardnpsmoodstavce"/>
    <w:uiPriority w:val="99"/>
    <w:semiHidden/>
    <w:unhideWhenUsed/>
    <w:rsid w:val="0098151D"/>
    <w:rPr>
      <w:color w:val="605E5C"/>
      <w:shd w:val="clear" w:color="auto" w:fill="E1DFDD"/>
    </w:rPr>
  </w:style>
  <w:style w:type="table" w:customStyle="1" w:styleId="Mkatabulky2">
    <w:name w:val="Mřížka tabulky2"/>
    <w:basedOn w:val="Normlntabulka"/>
    <w:next w:val="Mkatabulky"/>
    <w:uiPriority w:val="39"/>
    <w:rsid w:val="00BE0A42"/>
    <w:pPr>
      <w:spacing w:after="0" w:line="240" w:lineRule="auto"/>
    </w:pPr>
    <w:rPr>
      <w:rFonts w:ascii="Times New Roman" w:eastAsia="Times New Roman" w:hAnsi="Times New Roman" w:cs="Times New Roman"/>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7E5FBB"/>
    <w:pPr>
      <w:spacing w:after="0" w:line="240" w:lineRule="auto"/>
    </w:pPr>
    <w:rPr>
      <w:rFonts w:eastAsia="Times New Roman"/>
      <w:sz w:val="22"/>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SR">
    <w:name w:val="MDS ČR"/>
    <w:basedOn w:val="Normln"/>
    <w:uiPriority w:val="99"/>
    <w:rsid w:val="00DC02D8"/>
    <w:pPr>
      <w:suppressAutoHyphens/>
      <w:overflowPunct w:val="0"/>
      <w:autoSpaceDE w:val="0"/>
      <w:autoSpaceDN w:val="0"/>
      <w:adjustRightInd w:val="0"/>
      <w:spacing w:after="0" w:line="240" w:lineRule="auto"/>
      <w:ind w:left="57" w:firstLine="567"/>
      <w:jc w:val="both"/>
      <w:textAlignment w:val="baseline"/>
    </w:pPr>
    <w:rPr>
      <w:rFonts w:ascii="Times New Roman" w:eastAsia="Times New Roman" w:hAnsi="Times New Roman" w:cs="Times New Roman"/>
      <w:sz w:val="24"/>
      <w:szCs w:val="20"/>
      <w:lang w:eastAsia="cs-CZ"/>
    </w:rPr>
  </w:style>
  <w:style w:type="paragraph" w:customStyle="1" w:styleId="Default">
    <w:name w:val="Default"/>
    <w:rsid w:val="00DC02D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znamsodrkami1">
    <w:name w:val="Seznam s odrážkami1"/>
    <w:basedOn w:val="Normln"/>
    <w:next w:val="Seznamsodrkami"/>
    <w:uiPriority w:val="28"/>
    <w:unhideWhenUsed/>
    <w:rsid w:val="00C93D25"/>
    <w:pPr>
      <w:numPr>
        <w:numId w:val="28"/>
      </w:numPr>
      <w:spacing w:before="0" w:after="0" w:line="264" w:lineRule="auto"/>
      <w:ind w:left="2758" w:hanging="360"/>
    </w:pPr>
    <w:rPr>
      <w:szCs w:val="18"/>
    </w:rPr>
  </w:style>
  <w:style w:type="paragraph" w:customStyle="1" w:styleId="Seznamsodrkami21">
    <w:name w:val="Seznam s odrážkami 21"/>
    <w:basedOn w:val="Seznamsodrkami"/>
    <w:next w:val="Seznamsodrkami2"/>
    <w:uiPriority w:val="28"/>
    <w:unhideWhenUsed/>
    <w:rsid w:val="00C93D25"/>
    <w:pPr>
      <w:numPr>
        <w:ilvl w:val="1"/>
        <w:numId w:val="28"/>
      </w:numPr>
      <w:spacing w:before="0" w:after="0" w:line="264" w:lineRule="auto"/>
      <w:ind w:left="3478" w:hanging="360"/>
      <w:contextualSpacing w:val="0"/>
    </w:pPr>
    <w:rPr>
      <w:szCs w:val="18"/>
    </w:rPr>
  </w:style>
  <w:style w:type="paragraph" w:customStyle="1" w:styleId="Seznamsodrkami31">
    <w:name w:val="Seznam s odrážkami 31"/>
    <w:basedOn w:val="Seznamsodrkami"/>
    <w:next w:val="Seznamsodrkami3"/>
    <w:uiPriority w:val="28"/>
    <w:unhideWhenUsed/>
    <w:rsid w:val="00C93D25"/>
    <w:pPr>
      <w:numPr>
        <w:ilvl w:val="2"/>
        <w:numId w:val="28"/>
      </w:numPr>
      <w:spacing w:before="0" w:after="0" w:line="264" w:lineRule="auto"/>
      <w:ind w:left="4198" w:hanging="360"/>
      <w:contextualSpacing w:val="0"/>
    </w:pPr>
    <w:rPr>
      <w:szCs w:val="18"/>
    </w:rPr>
  </w:style>
  <w:style w:type="paragraph" w:customStyle="1" w:styleId="Seznamsodrkami41">
    <w:name w:val="Seznam s odrážkami 41"/>
    <w:basedOn w:val="Seznamsodrkami"/>
    <w:next w:val="Seznamsodrkami4"/>
    <w:uiPriority w:val="28"/>
    <w:unhideWhenUsed/>
    <w:rsid w:val="00C93D25"/>
    <w:pPr>
      <w:numPr>
        <w:ilvl w:val="3"/>
        <w:numId w:val="28"/>
      </w:numPr>
      <w:spacing w:before="0" w:after="0" w:line="264" w:lineRule="auto"/>
      <w:ind w:left="4918" w:hanging="360"/>
      <w:contextualSpacing w:val="0"/>
    </w:pPr>
    <w:rPr>
      <w:szCs w:val="18"/>
    </w:rPr>
  </w:style>
  <w:style w:type="paragraph" w:customStyle="1" w:styleId="Seznamsodrkami51">
    <w:name w:val="Seznam s odrážkami 51"/>
    <w:basedOn w:val="Seznamsodrkami"/>
    <w:next w:val="Seznamsodrkami5"/>
    <w:uiPriority w:val="28"/>
    <w:unhideWhenUsed/>
    <w:rsid w:val="00C93D25"/>
    <w:pPr>
      <w:numPr>
        <w:ilvl w:val="4"/>
        <w:numId w:val="28"/>
      </w:numPr>
      <w:spacing w:before="0" w:after="0" w:line="264" w:lineRule="auto"/>
      <w:ind w:left="5638" w:hanging="360"/>
      <w:contextualSpacing w:val="0"/>
    </w:pPr>
    <w:rPr>
      <w:szCs w:val="18"/>
    </w:rPr>
  </w:style>
  <w:style w:type="numbering" w:customStyle="1" w:styleId="ListBulletmultilevel">
    <w:name w:val="List Bullet (multilevel)"/>
    <w:uiPriority w:val="99"/>
    <w:rsid w:val="00C93D25"/>
    <w:pPr>
      <w:numPr>
        <w:numId w:val="27"/>
      </w:numPr>
    </w:pPr>
  </w:style>
  <w:style w:type="table" w:customStyle="1" w:styleId="Mkatabulky21">
    <w:name w:val="Mřížka tabulky21"/>
    <w:basedOn w:val="Normlntabulka"/>
    <w:next w:val="Mkatabulky"/>
    <w:uiPriority w:val="39"/>
    <w:rsid w:val="00C93D25"/>
    <w:pPr>
      <w:spacing w:after="0" w:line="240" w:lineRule="auto"/>
    </w:pPr>
    <w:rPr>
      <w:rFonts w:ascii="Calibri" w:hAnsi="Calibri"/>
      <w:kern w:val="2"/>
      <w:sz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
    <w:name w:val="List Bullet"/>
    <w:basedOn w:val="Normln"/>
    <w:uiPriority w:val="99"/>
    <w:semiHidden/>
    <w:unhideWhenUsed/>
    <w:rsid w:val="00C93D25"/>
    <w:pPr>
      <w:ind w:left="454" w:hanging="170"/>
      <w:contextualSpacing/>
    </w:pPr>
  </w:style>
  <w:style w:type="paragraph" w:styleId="Seznamsodrkami2">
    <w:name w:val="List Bullet 2"/>
    <w:basedOn w:val="Normln"/>
    <w:uiPriority w:val="99"/>
    <w:semiHidden/>
    <w:unhideWhenUsed/>
    <w:rsid w:val="00C93D25"/>
    <w:pPr>
      <w:ind w:left="454" w:hanging="170"/>
      <w:contextualSpacing/>
    </w:pPr>
  </w:style>
  <w:style w:type="paragraph" w:styleId="Seznamsodrkami3">
    <w:name w:val="List Bullet 3"/>
    <w:basedOn w:val="Normln"/>
    <w:uiPriority w:val="99"/>
    <w:semiHidden/>
    <w:unhideWhenUsed/>
    <w:rsid w:val="00C93D25"/>
    <w:pPr>
      <w:numPr>
        <w:numId w:val="29"/>
      </w:numPr>
      <w:contextualSpacing/>
    </w:pPr>
  </w:style>
  <w:style w:type="paragraph" w:styleId="Seznamsodrkami4">
    <w:name w:val="List Bullet 4"/>
    <w:basedOn w:val="Normln"/>
    <w:uiPriority w:val="99"/>
    <w:semiHidden/>
    <w:unhideWhenUsed/>
    <w:rsid w:val="00C93D25"/>
    <w:pPr>
      <w:numPr>
        <w:numId w:val="30"/>
      </w:numPr>
      <w:contextualSpacing/>
    </w:pPr>
  </w:style>
  <w:style w:type="paragraph" w:styleId="Seznamsodrkami5">
    <w:name w:val="List Bullet 5"/>
    <w:basedOn w:val="Normln"/>
    <w:uiPriority w:val="99"/>
    <w:semiHidden/>
    <w:unhideWhenUsed/>
    <w:rsid w:val="00C93D25"/>
    <w:pPr>
      <w:numPr>
        <w:numId w:val="31"/>
      </w:numPr>
      <w:contextualSpacing/>
    </w:pPr>
  </w:style>
  <w:style w:type="character" w:customStyle="1" w:styleId="TextbezslovnChar">
    <w:name w:val="_Text_bez_číslování Char"/>
    <w:basedOn w:val="Standardnpsmoodstavce"/>
    <w:link w:val="Textbezslovn"/>
    <w:rsid w:val="00866B96"/>
    <w:rPr>
      <w:rFonts w:asciiTheme="minorHAnsi" w:eastAsia="MS Mincho"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86824">
      <w:bodyDiv w:val="1"/>
      <w:marLeft w:val="0"/>
      <w:marRight w:val="0"/>
      <w:marTop w:val="0"/>
      <w:marBottom w:val="0"/>
      <w:divBdr>
        <w:top w:val="none" w:sz="0" w:space="0" w:color="auto"/>
        <w:left w:val="none" w:sz="0" w:space="0" w:color="auto"/>
        <w:bottom w:val="none" w:sz="0" w:space="0" w:color="auto"/>
        <w:right w:val="none" w:sz="0" w:space="0" w:color="auto"/>
      </w:divBdr>
    </w:div>
    <w:div w:id="312225584">
      <w:bodyDiv w:val="1"/>
      <w:marLeft w:val="0"/>
      <w:marRight w:val="0"/>
      <w:marTop w:val="0"/>
      <w:marBottom w:val="0"/>
      <w:divBdr>
        <w:top w:val="none" w:sz="0" w:space="0" w:color="auto"/>
        <w:left w:val="none" w:sz="0" w:space="0" w:color="auto"/>
        <w:bottom w:val="none" w:sz="0" w:space="0" w:color="auto"/>
        <w:right w:val="none" w:sz="0" w:space="0" w:color="auto"/>
      </w:divBdr>
    </w:div>
    <w:div w:id="897208369">
      <w:bodyDiv w:val="1"/>
      <w:marLeft w:val="0"/>
      <w:marRight w:val="0"/>
      <w:marTop w:val="0"/>
      <w:marBottom w:val="0"/>
      <w:divBdr>
        <w:top w:val="none" w:sz="0" w:space="0" w:color="auto"/>
        <w:left w:val="none" w:sz="0" w:space="0" w:color="auto"/>
        <w:bottom w:val="none" w:sz="0" w:space="0" w:color="auto"/>
        <w:right w:val="none" w:sz="0" w:space="0" w:color="auto"/>
      </w:divBdr>
    </w:div>
    <w:div w:id="913003302">
      <w:bodyDiv w:val="1"/>
      <w:marLeft w:val="0"/>
      <w:marRight w:val="0"/>
      <w:marTop w:val="0"/>
      <w:marBottom w:val="0"/>
      <w:divBdr>
        <w:top w:val="none" w:sz="0" w:space="0" w:color="auto"/>
        <w:left w:val="none" w:sz="0" w:space="0" w:color="auto"/>
        <w:bottom w:val="none" w:sz="0" w:space="0" w:color="auto"/>
        <w:right w:val="none" w:sz="0" w:space="0" w:color="auto"/>
      </w:divBdr>
    </w:div>
    <w:div w:id="934510169">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cnb.cz/cs/financni-trhy/devizovy-trh/kurzy-devizoveho-trhu/kurzy-devizoveho-trhu/" TargetMode="External"/><Relationship Id="rId1" Type="http://schemas.openxmlformats.org/officeDocument/2006/relationships/hyperlink" Target="https://www.cnb.cz/cs/financni-trhy/devizovy-trh/kurzy-devizoveho-trhu/kurzy-devizoveho-trh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39E95E34-645E-4D78-96B0-FB1F4278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18007</Words>
  <Characters>106244</Characters>
  <Application>Microsoft Office Word</Application>
  <DocSecurity>0</DocSecurity>
  <Lines>885</Lines>
  <Paragraphs>248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stanek@akegv.cz</dc:creator>
  <cp:keywords/>
  <cp:lastModifiedBy>Mgr. Miroslav Staněk</cp:lastModifiedBy>
  <cp:revision>3</cp:revision>
  <cp:lastPrinted>2023-10-24T17:06:00Z</cp:lastPrinted>
  <dcterms:created xsi:type="dcterms:W3CDTF">2023-10-25T09:05:00Z</dcterms:created>
  <dcterms:modified xsi:type="dcterms:W3CDTF">2023-10-25T09:07:00Z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